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C9A86" w14:textId="77777777" w:rsidR="00B94A94" w:rsidRDefault="00B94A94" w:rsidP="00E07FBD">
      <w:pPr>
        <w:pStyle w:val="Heading1"/>
        <w:spacing w:before="91"/>
        <w:ind w:left="3699" w:right="3661"/>
      </w:pPr>
    </w:p>
    <w:p w14:paraId="799988D4" w14:textId="66F801A7" w:rsidR="00B94A94" w:rsidRDefault="00B94A94" w:rsidP="00B94A94">
      <w:pPr>
        <w:pStyle w:val="Heading1"/>
        <w:spacing w:before="91"/>
        <w:ind w:left="3699" w:right="3661"/>
        <w:jc w:val="center"/>
      </w:pPr>
    </w:p>
    <w:p w14:paraId="04958683" w14:textId="77777777" w:rsidR="00B94A94" w:rsidRDefault="00B94A94" w:rsidP="00B94A94">
      <w:pPr>
        <w:pStyle w:val="Heading1"/>
        <w:spacing w:before="91"/>
        <w:ind w:left="3699" w:right="3661"/>
        <w:jc w:val="center"/>
      </w:pPr>
    </w:p>
    <w:p w14:paraId="297F5DC1" w14:textId="060B466D" w:rsidR="00E07FBD" w:rsidRPr="00E07FBD" w:rsidRDefault="00E07FBD" w:rsidP="00E07FBD">
      <w:pPr>
        <w:pStyle w:val="Heading1"/>
        <w:spacing w:before="91"/>
        <w:ind w:left="3699" w:right="3661"/>
      </w:pPr>
      <w:r w:rsidRPr="00E07FBD">
        <w:t>ALIVE &amp; THRIVE (A&amp;T)</w:t>
      </w:r>
    </w:p>
    <w:p w14:paraId="7C5B5228" w14:textId="77777777" w:rsidR="00E07FBD" w:rsidRDefault="00E07FBD" w:rsidP="00A07BEE">
      <w:pPr>
        <w:jc w:val="center"/>
        <w:rPr>
          <w:b/>
          <w:sz w:val="24"/>
        </w:rPr>
      </w:pPr>
    </w:p>
    <w:p w14:paraId="5A9ECCDD" w14:textId="2083D3A6" w:rsidR="00A07BEE" w:rsidRPr="001C447E" w:rsidRDefault="00A07BEE" w:rsidP="00A07BEE">
      <w:pPr>
        <w:jc w:val="center"/>
        <w:rPr>
          <w:b/>
          <w:sz w:val="24"/>
        </w:rPr>
      </w:pPr>
      <w:r w:rsidRPr="001C447E">
        <w:rPr>
          <w:b/>
          <w:sz w:val="24"/>
        </w:rPr>
        <w:t>Request for Proposal (RFP)</w:t>
      </w:r>
    </w:p>
    <w:p w14:paraId="4A401225" w14:textId="77777777" w:rsidR="008D10E1" w:rsidRDefault="008D10E1">
      <w:pPr>
        <w:pStyle w:val="BodyText"/>
        <w:spacing w:before="1"/>
        <w:rPr>
          <w:b/>
        </w:rPr>
      </w:pPr>
    </w:p>
    <w:p w14:paraId="1704E1F2" w14:textId="1E9D2483" w:rsidR="008D10E1" w:rsidRDefault="002D0A0D">
      <w:pPr>
        <w:tabs>
          <w:tab w:val="left" w:pos="2637"/>
        </w:tabs>
        <w:ind w:left="120"/>
      </w:pPr>
      <w:bookmarkStart w:id="0" w:name="Vendor:_GMMB_Inc."/>
      <w:bookmarkEnd w:id="0"/>
      <w:r>
        <w:rPr>
          <w:b/>
        </w:rPr>
        <w:t>Date of publication</w:t>
      </w:r>
      <w:r w:rsidR="00C122F6">
        <w:rPr>
          <w:b/>
        </w:rPr>
        <w:t>:</w:t>
      </w:r>
      <w:r w:rsidR="00C122F6">
        <w:rPr>
          <w:b/>
        </w:rPr>
        <w:tab/>
      </w:r>
      <w:r w:rsidR="00BE2090">
        <w:rPr>
          <w:b/>
        </w:rPr>
        <w:tab/>
      </w:r>
      <w:r w:rsidR="00BE2090">
        <w:rPr>
          <w:b/>
        </w:rPr>
        <w:tab/>
      </w:r>
      <w:r w:rsidR="00B243EA">
        <w:rPr>
          <w:b/>
        </w:rPr>
        <w:t>Aug</w:t>
      </w:r>
      <w:r w:rsidR="009C25AE">
        <w:rPr>
          <w:b/>
        </w:rPr>
        <w:t>ust</w:t>
      </w:r>
      <w:r w:rsidR="00B243EA">
        <w:rPr>
          <w:b/>
        </w:rPr>
        <w:t xml:space="preserve"> 10, 2022</w:t>
      </w:r>
      <w:r w:rsidR="00BE2090">
        <w:rPr>
          <w:b/>
        </w:rPr>
        <w:t xml:space="preserve"> </w:t>
      </w:r>
    </w:p>
    <w:p w14:paraId="315CC5D9" w14:textId="77777777" w:rsidR="008D10E1" w:rsidRDefault="008D10E1">
      <w:pPr>
        <w:pStyle w:val="BodyText"/>
      </w:pPr>
    </w:p>
    <w:p w14:paraId="2D720515" w14:textId="07A756FA" w:rsidR="00F8218F" w:rsidRDefault="002D565B">
      <w:pPr>
        <w:tabs>
          <w:tab w:val="left" w:pos="2637"/>
        </w:tabs>
        <w:spacing w:before="1"/>
        <w:ind w:left="120"/>
        <w:rPr>
          <w:b/>
        </w:rPr>
      </w:pPr>
      <w:bookmarkStart w:id="1" w:name="Purchase_Order_No.:__GMMB-PO#02"/>
      <w:bookmarkStart w:id="2" w:name="Scope_of_Work:_Digital_support_for_Alive"/>
      <w:bookmarkEnd w:id="1"/>
      <w:bookmarkEnd w:id="2"/>
      <w:r>
        <w:rPr>
          <w:b/>
          <w:bCs/>
        </w:rPr>
        <w:t>Scope of Work:</w:t>
      </w:r>
      <w:r w:rsidR="00C122F6">
        <w:rPr>
          <w:b/>
        </w:rPr>
        <w:tab/>
      </w:r>
      <w:r w:rsidR="002D0A0D">
        <w:rPr>
          <w:b/>
        </w:rPr>
        <w:tab/>
      </w:r>
      <w:r w:rsidR="002D0A0D">
        <w:rPr>
          <w:b/>
        </w:rPr>
        <w:tab/>
      </w:r>
      <w:r w:rsidR="00B243EA">
        <w:rPr>
          <w:b/>
        </w:rPr>
        <w:t>Consultant</w:t>
      </w:r>
      <w:r w:rsidR="00700D7C">
        <w:rPr>
          <w:b/>
        </w:rPr>
        <w:t>/Firm</w:t>
      </w:r>
      <w:r>
        <w:rPr>
          <w:b/>
        </w:rPr>
        <w:t xml:space="preserve"> Needed for Alive &amp; Thr</w:t>
      </w:r>
      <w:r w:rsidR="00663804">
        <w:rPr>
          <w:b/>
        </w:rPr>
        <w:t>ive Website Usability</w:t>
      </w:r>
    </w:p>
    <w:p w14:paraId="18CBE0CD" w14:textId="750631A1" w:rsidR="008D10E1" w:rsidRPr="003D2983" w:rsidRDefault="00F8218F">
      <w:pPr>
        <w:tabs>
          <w:tab w:val="left" w:pos="2637"/>
        </w:tabs>
        <w:spacing w:before="1"/>
        <w:ind w:left="120"/>
      </w:pPr>
      <w:r>
        <w:rPr>
          <w:b/>
        </w:rPr>
        <w:tab/>
      </w:r>
      <w:r>
        <w:rPr>
          <w:b/>
        </w:rPr>
        <w:tab/>
      </w:r>
      <w:r>
        <w:rPr>
          <w:b/>
        </w:rPr>
        <w:tab/>
      </w:r>
      <w:r w:rsidR="00663804">
        <w:rPr>
          <w:b/>
        </w:rPr>
        <w:t>Testing</w:t>
      </w:r>
      <w:r w:rsidR="008D0848">
        <w:rPr>
          <w:b/>
        </w:rPr>
        <w:t>.</w:t>
      </w:r>
    </w:p>
    <w:p w14:paraId="607BD563" w14:textId="77777777" w:rsidR="008D10E1" w:rsidRDefault="008D10E1">
      <w:pPr>
        <w:pStyle w:val="BodyText"/>
        <w:spacing w:before="9"/>
        <w:rPr>
          <w:sz w:val="21"/>
        </w:rPr>
      </w:pPr>
    </w:p>
    <w:p w14:paraId="09B62AA8" w14:textId="14A99F54" w:rsidR="008D10E1" w:rsidRDefault="002D0A0D">
      <w:pPr>
        <w:tabs>
          <w:tab w:val="left" w:pos="2637"/>
        </w:tabs>
        <w:ind w:left="120"/>
      </w:pPr>
      <w:bookmarkStart w:id="3" w:name="Duration:_July_15,_2019_–_December_14,_2"/>
      <w:bookmarkEnd w:id="3"/>
      <w:r>
        <w:rPr>
          <w:b/>
        </w:rPr>
        <w:t>Anticipated Period of performance</w:t>
      </w:r>
      <w:r w:rsidR="00C122F6">
        <w:rPr>
          <w:b/>
        </w:rPr>
        <w:t>:</w:t>
      </w:r>
      <w:r w:rsidR="00C122F6">
        <w:rPr>
          <w:b/>
        </w:rPr>
        <w:tab/>
      </w:r>
      <w:r w:rsidR="00B243EA">
        <w:rPr>
          <w:b/>
        </w:rPr>
        <w:t>Sept</w:t>
      </w:r>
      <w:r w:rsidR="008D0848">
        <w:rPr>
          <w:b/>
        </w:rPr>
        <w:t xml:space="preserve">ember </w:t>
      </w:r>
      <w:r w:rsidR="00B243EA">
        <w:rPr>
          <w:b/>
        </w:rPr>
        <w:t>15, 2022</w:t>
      </w:r>
      <w:r w:rsidR="008D0848">
        <w:rPr>
          <w:b/>
        </w:rPr>
        <w:t xml:space="preserve"> </w:t>
      </w:r>
      <w:r w:rsidR="00B243EA">
        <w:rPr>
          <w:b/>
        </w:rPr>
        <w:t>-</w:t>
      </w:r>
      <w:r w:rsidR="008D0848">
        <w:rPr>
          <w:b/>
        </w:rPr>
        <w:t xml:space="preserve"> </w:t>
      </w:r>
      <w:r w:rsidR="00B243EA">
        <w:rPr>
          <w:b/>
        </w:rPr>
        <w:t>Oct</w:t>
      </w:r>
      <w:r w:rsidR="008D0848">
        <w:rPr>
          <w:b/>
        </w:rPr>
        <w:t>ober</w:t>
      </w:r>
      <w:r w:rsidR="00B243EA">
        <w:rPr>
          <w:b/>
        </w:rPr>
        <w:t xml:space="preserve"> 31, 2022</w:t>
      </w:r>
      <w:r w:rsidR="008D0848">
        <w:t>.</w:t>
      </w:r>
    </w:p>
    <w:p w14:paraId="2C8F33E4" w14:textId="77777777" w:rsidR="008D10E1" w:rsidRDefault="008D10E1">
      <w:pPr>
        <w:pStyle w:val="BodyText"/>
        <w:spacing w:before="1"/>
      </w:pPr>
    </w:p>
    <w:p w14:paraId="377E9594" w14:textId="710B2F2C" w:rsidR="008D10E1" w:rsidRPr="00B94A94" w:rsidRDefault="002D0A0D" w:rsidP="00B94A94">
      <w:pPr>
        <w:pStyle w:val="Heading1"/>
        <w:tabs>
          <w:tab w:val="left" w:pos="2637"/>
        </w:tabs>
      </w:pPr>
      <w:bookmarkStart w:id="4" w:name="Contract_Oversight:_Joe_Lamport,_A&amp;T_Ass"/>
      <w:bookmarkEnd w:id="4"/>
      <w:r>
        <w:t>Deadline for proposals submission</w:t>
      </w:r>
      <w:r w:rsidR="00C122F6">
        <w:t>:</w:t>
      </w:r>
      <w:r w:rsidR="00C122F6">
        <w:tab/>
      </w:r>
      <w:r w:rsidR="008D0848">
        <w:t>August</w:t>
      </w:r>
      <w:r w:rsidR="00B243EA">
        <w:t xml:space="preserve"> 30, 2022</w:t>
      </w:r>
    </w:p>
    <w:p w14:paraId="5B14F670" w14:textId="551DA14C" w:rsidR="008D10E1" w:rsidRDefault="00B94A94" w:rsidP="00B94A94">
      <w:pPr>
        <w:spacing w:before="208"/>
        <w:ind w:firstLine="180"/>
        <w:rPr>
          <w:b/>
        </w:rPr>
      </w:pPr>
      <w:r>
        <w:rPr>
          <w:noProof/>
        </w:rPr>
        <mc:AlternateContent>
          <mc:Choice Requires="wps">
            <w:drawing>
              <wp:anchor distT="0" distB="0" distL="114300" distR="114300" simplePos="0" relativeHeight="1024" behindDoc="0" locked="0" layoutInCell="1" allowOverlap="1" wp14:anchorId="554FA683" wp14:editId="5CE06F8F">
                <wp:simplePos x="0" y="0"/>
                <wp:positionH relativeFrom="page">
                  <wp:posOffset>685800</wp:posOffset>
                </wp:positionH>
                <wp:positionV relativeFrom="paragraph">
                  <wp:posOffset>105410</wp:posOffset>
                </wp:positionV>
                <wp:extent cx="6271260" cy="7620"/>
                <wp:effectExtent l="0" t="0" r="34290" b="3048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126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6E5D0A" id="Line 2" o:spid="_x0000_s1026" style="position:absolute;z-index:1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4pt,8.3pt" to="547.8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">
                <w10:wrap anchorx="page"/>
              </v:line>
            </w:pict>
          </mc:Fallback>
        </mc:AlternateContent>
      </w:r>
      <w:r w:rsidR="00C122F6">
        <w:rPr>
          <w:b/>
        </w:rPr>
        <w:t>Introduction</w:t>
      </w:r>
      <w:r w:rsidR="00700D7C">
        <w:rPr>
          <w:b/>
        </w:rPr>
        <w:t>:</w:t>
      </w:r>
    </w:p>
    <w:p w14:paraId="622F2AC6" w14:textId="3B6D1F27" w:rsidR="008D10E1" w:rsidRDefault="00C122F6">
      <w:pPr>
        <w:pStyle w:val="BodyText"/>
        <w:spacing w:before="1"/>
        <w:ind w:left="120" w:right="102"/>
      </w:pPr>
      <w:r>
        <w:t>Alive &amp; Thrive (A&amp;T) is a global nutrition initiative to save lives, prevent illness, and ensure healthy growth of mothers and children. From 2009–2014, A&amp;T demonstrated that rapid improvements in infant and young child feeding (IYCF) are possible in settings as diverse as Ethiopia, Bangladesh, and Viet Nam. In 2014,</w:t>
      </w:r>
      <w:r>
        <w:rPr>
          <w:spacing w:val="-37"/>
        </w:rPr>
        <w:t xml:space="preserve"> </w:t>
      </w:r>
      <w:r>
        <w:t>A&amp;T began working in Burkina Faso, India, Nigeria, and throughout the Southeast Asia region, expanding its scope to include maternal and adolescent nutrition, and using agriculture and social protection programs as delivery mechanisms for maternal, infant, and young child nutrition (MIYCN). Currently, A&amp;T is leveraging its robust network and knowledge base to strengthen systems and build capacity in these and other countries across Africa and Asia, and disseminate innovations, tools, and lessons worldwide. The Alive &amp; Thrive initiative, managed by FHI</w:t>
      </w:r>
      <w:r w:rsidR="00655F5F">
        <w:t xml:space="preserve"> Solutions</w:t>
      </w:r>
      <w:r>
        <w:t xml:space="preserve">, is funded by the Bill &amp; Melinda Gates Foundation, Irish Aid, </w:t>
      </w:r>
      <w:r w:rsidR="00B243EA">
        <w:t>and other donors</w:t>
      </w:r>
      <w:r>
        <w:t>.</w:t>
      </w:r>
    </w:p>
    <w:p w14:paraId="4688D63B" w14:textId="77777777" w:rsidR="008D10E1" w:rsidRDefault="008D10E1">
      <w:pPr>
        <w:pStyle w:val="BodyText"/>
        <w:spacing w:before="10"/>
        <w:rPr>
          <w:sz w:val="21"/>
        </w:rPr>
      </w:pPr>
    </w:p>
    <w:p w14:paraId="0A8F6948" w14:textId="63B36D78" w:rsidR="008D10E1" w:rsidRDefault="00C122F6">
      <w:pPr>
        <w:pStyle w:val="Heading1"/>
      </w:pPr>
      <w:r>
        <w:t>Background</w:t>
      </w:r>
      <w:r w:rsidR="00700D7C">
        <w:t>:</w:t>
      </w:r>
    </w:p>
    <w:p w14:paraId="3BE46F02" w14:textId="77777777" w:rsidR="001E1615" w:rsidRDefault="00655F5F" w:rsidP="001E1615">
      <w:pPr>
        <w:pStyle w:val="BodyText"/>
        <w:spacing w:before="2"/>
        <w:ind w:left="120" w:right="194"/>
      </w:pPr>
      <w:r>
        <w:t xml:space="preserve">Alive &amp; </w:t>
      </w:r>
      <w:proofErr w:type="spellStart"/>
      <w:r>
        <w:t>Thrive’s</w:t>
      </w:r>
      <w:proofErr w:type="spellEnd"/>
      <w:r>
        <w:t xml:space="preserve"> </w:t>
      </w:r>
      <w:r w:rsidR="00B243EA">
        <w:t>primary means of disseminating its variety of knowledge products and project information is its website, aliveandthrive.org. The website was redesigned in 2019, including a transfer to Drupal CMS, to resolve issues affecting its library functions.</w:t>
      </w:r>
      <w:r w:rsidR="001E1615">
        <w:t xml:space="preserve"> The design led to a significant increase in traffic to the site, but the bounce rate is still high (about 60%). The site is linked to Google Analytics, which generates a rich stream of data that has not been exploited for further insights.</w:t>
      </w:r>
    </w:p>
    <w:p w14:paraId="603A5D14" w14:textId="77777777" w:rsidR="001E1615" w:rsidRDefault="001E1615" w:rsidP="001E1615">
      <w:pPr>
        <w:pStyle w:val="BodyText"/>
        <w:spacing w:before="2"/>
        <w:ind w:left="120" w:right="194"/>
      </w:pPr>
    </w:p>
    <w:p w14:paraId="17708C9C" w14:textId="1AC4E95C" w:rsidR="00655F5F" w:rsidRDefault="00655F5F" w:rsidP="001E1615">
      <w:pPr>
        <w:pStyle w:val="BodyText"/>
        <w:spacing w:before="2"/>
        <w:ind w:left="120" w:right="194"/>
      </w:pPr>
      <w:r>
        <w:t xml:space="preserve">A&amp;T needs </w:t>
      </w:r>
      <w:r w:rsidR="001E1615">
        <w:t>a consultant or firm to analyze the data generated by Google Analytics and conduct further information-collection activities that will clarify the user experience and provide actionable recommendations on how to improve the user experience.</w:t>
      </w:r>
    </w:p>
    <w:p w14:paraId="53CEEFD9" w14:textId="77777777" w:rsidR="00655F5F" w:rsidRDefault="00655F5F" w:rsidP="00655F5F">
      <w:pPr>
        <w:pStyle w:val="BodyText"/>
        <w:spacing w:before="2"/>
        <w:ind w:left="120" w:right="194"/>
      </w:pPr>
    </w:p>
    <w:p w14:paraId="1BB471D4" w14:textId="36EAAB1E" w:rsidR="00655F5F" w:rsidRDefault="00655F5F" w:rsidP="00655F5F">
      <w:pPr>
        <w:pStyle w:val="Heading1"/>
      </w:pPr>
      <w:r>
        <w:t>Purpose</w:t>
      </w:r>
      <w:r w:rsidR="00700D7C">
        <w:t>:</w:t>
      </w:r>
    </w:p>
    <w:p w14:paraId="747F9DD7" w14:textId="0887333A" w:rsidR="00655F5F" w:rsidRDefault="00655F5F" w:rsidP="00655F5F">
      <w:pPr>
        <w:pStyle w:val="BodyText"/>
        <w:spacing w:before="2"/>
        <w:ind w:left="120" w:right="805"/>
      </w:pPr>
      <w:r w:rsidRPr="003452D0">
        <w:t xml:space="preserve">To </w:t>
      </w:r>
      <w:r w:rsidR="001E1615">
        <w:t>conduct an analysis of data generated by Google Analytics complemented by user experience insight activities to provide A&amp;T with actionable recommendations to improve the user experience.</w:t>
      </w:r>
    </w:p>
    <w:p w14:paraId="4D72F554" w14:textId="77777777" w:rsidR="00655F5F" w:rsidRDefault="00655F5F" w:rsidP="00655F5F">
      <w:pPr>
        <w:pStyle w:val="BodyText"/>
        <w:spacing w:before="2"/>
        <w:ind w:left="120" w:right="194"/>
      </w:pPr>
    </w:p>
    <w:p w14:paraId="44D433FE" w14:textId="44C439D0" w:rsidR="00655F5F" w:rsidRPr="00655F5F" w:rsidRDefault="00655F5F" w:rsidP="00655F5F">
      <w:pPr>
        <w:pStyle w:val="BodyText"/>
        <w:spacing w:before="2"/>
        <w:ind w:left="120" w:right="194"/>
        <w:rPr>
          <w:b/>
          <w:bCs/>
        </w:rPr>
      </w:pPr>
      <w:r w:rsidRPr="00655F5F">
        <w:rPr>
          <w:b/>
          <w:bCs/>
        </w:rPr>
        <w:t>Tasks and Activities</w:t>
      </w:r>
      <w:r w:rsidR="00700D7C">
        <w:rPr>
          <w:b/>
          <w:bCs/>
        </w:rPr>
        <w:t>:</w:t>
      </w:r>
    </w:p>
    <w:p w14:paraId="1BDB8126" w14:textId="4DDB1342" w:rsidR="001E1615" w:rsidRDefault="001E1615" w:rsidP="001E1615">
      <w:pPr>
        <w:pStyle w:val="BodyText"/>
        <w:numPr>
          <w:ilvl w:val="0"/>
          <w:numId w:val="5"/>
        </w:numPr>
        <w:spacing w:before="2"/>
        <w:ind w:right="194"/>
      </w:pPr>
      <w:r>
        <w:t>Develop a plan for usability testing</w:t>
      </w:r>
      <w:r w:rsidR="00F97EB2">
        <w:t>.</w:t>
      </w:r>
    </w:p>
    <w:p w14:paraId="5091FF41" w14:textId="2DB58D61" w:rsidR="001E1615" w:rsidRDefault="001E1615" w:rsidP="001E1615">
      <w:pPr>
        <w:pStyle w:val="BodyText"/>
        <w:numPr>
          <w:ilvl w:val="0"/>
          <w:numId w:val="5"/>
        </w:numPr>
        <w:spacing w:before="2"/>
        <w:ind w:right="194"/>
      </w:pPr>
      <w:r>
        <w:t>Modify the plan based on feedback and discussion with A&amp;T communications team.</w:t>
      </w:r>
    </w:p>
    <w:p w14:paraId="28FD7F15" w14:textId="687EA3EA" w:rsidR="001E1615" w:rsidRDefault="001E1615" w:rsidP="001E1615">
      <w:pPr>
        <w:pStyle w:val="BodyText"/>
        <w:numPr>
          <w:ilvl w:val="0"/>
          <w:numId w:val="5"/>
        </w:numPr>
        <w:spacing w:before="2"/>
        <w:ind w:right="194"/>
      </w:pPr>
      <w:r>
        <w:t>Implement the usability testing activities</w:t>
      </w:r>
      <w:r w:rsidR="00F97EB2">
        <w:t>.</w:t>
      </w:r>
    </w:p>
    <w:p w14:paraId="376D15A3" w14:textId="5D633926" w:rsidR="001E1615" w:rsidRDefault="001E1615" w:rsidP="001E1615">
      <w:pPr>
        <w:pStyle w:val="BodyText"/>
        <w:numPr>
          <w:ilvl w:val="0"/>
          <w:numId w:val="5"/>
        </w:numPr>
        <w:spacing w:before="2"/>
        <w:ind w:right="194"/>
      </w:pPr>
      <w:r>
        <w:t>Compose a report that clearly presents key insights from the usability testing and actionable recommendations to improve the user experience</w:t>
      </w:r>
      <w:r w:rsidR="00F97EB2">
        <w:t>.</w:t>
      </w:r>
    </w:p>
    <w:p w14:paraId="2BCE7E0F" w14:textId="6056E8F9" w:rsidR="001E1615" w:rsidRDefault="001E1615" w:rsidP="001E1615">
      <w:pPr>
        <w:pStyle w:val="BodyText"/>
        <w:numPr>
          <w:ilvl w:val="0"/>
          <w:numId w:val="5"/>
        </w:numPr>
        <w:spacing w:before="2"/>
        <w:ind w:right="194"/>
      </w:pPr>
      <w:r>
        <w:t xml:space="preserve">Deliver the report as both a narrative and a </w:t>
      </w:r>
      <w:r w:rsidR="00902DC6">
        <w:t>PowerPoint</w:t>
      </w:r>
      <w:r>
        <w:t xml:space="preserve"> presentation</w:t>
      </w:r>
      <w:r w:rsidR="00F97EB2">
        <w:t>.</w:t>
      </w:r>
    </w:p>
    <w:p w14:paraId="6193F7CD" w14:textId="5591D9F1" w:rsidR="006D5571" w:rsidRDefault="006D5571" w:rsidP="00655F5F">
      <w:pPr>
        <w:pStyle w:val="BodyText"/>
        <w:spacing w:before="2"/>
        <w:ind w:left="120" w:right="194"/>
      </w:pPr>
    </w:p>
    <w:p w14:paraId="5799A76C" w14:textId="014DDC80" w:rsidR="008D10E1" w:rsidRDefault="00C122F6">
      <w:pPr>
        <w:pStyle w:val="BodyText"/>
        <w:ind w:left="120"/>
      </w:pPr>
      <w:r>
        <w:t>The</w:t>
      </w:r>
      <w:r w:rsidR="00655F5F">
        <w:t xml:space="preserve"> </w:t>
      </w:r>
      <w:r w:rsidR="00E0586C">
        <w:t xml:space="preserve">firm or consultant </w:t>
      </w:r>
      <w:r>
        <w:t>will:</w:t>
      </w:r>
    </w:p>
    <w:p w14:paraId="13DE5A37" w14:textId="7FAF5BAE" w:rsidR="00F75A37" w:rsidRDefault="00F75A37" w:rsidP="00B70A92">
      <w:pPr>
        <w:pStyle w:val="ListParagraph"/>
        <w:tabs>
          <w:tab w:val="left" w:pos="840"/>
          <w:tab w:val="left" w:pos="841"/>
        </w:tabs>
        <w:spacing w:before="1"/>
        <w:ind w:right="282" w:firstLine="0"/>
      </w:pPr>
    </w:p>
    <w:tbl>
      <w:tblPr>
        <w:tblStyle w:val="TableGrid"/>
        <w:tblW w:w="0" w:type="auto"/>
        <w:tblInd w:w="840" w:type="dxa"/>
        <w:tblLook w:val="04A0" w:firstRow="1" w:lastRow="0" w:firstColumn="1" w:lastColumn="0" w:noHBand="0" w:noVBand="1"/>
      </w:tblPr>
      <w:tblGrid>
        <w:gridCol w:w="780"/>
        <w:gridCol w:w="5339"/>
        <w:gridCol w:w="2981"/>
      </w:tblGrid>
      <w:tr w:rsidR="00B70A92" w14:paraId="4B252B38" w14:textId="77777777" w:rsidTr="00553CA7">
        <w:tc>
          <w:tcPr>
            <w:tcW w:w="780" w:type="dxa"/>
          </w:tcPr>
          <w:p w14:paraId="4FAB5D7F" w14:textId="1E77A176" w:rsidR="00B70A92" w:rsidRDefault="00B70A92" w:rsidP="00B70A92">
            <w:pPr>
              <w:pStyle w:val="ListParagraph"/>
              <w:tabs>
                <w:tab w:val="left" w:pos="840"/>
                <w:tab w:val="left" w:pos="841"/>
              </w:tabs>
              <w:spacing w:before="1"/>
              <w:ind w:left="0" w:right="282" w:firstLine="0"/>
            </w:pPr>
            <w:r>
              <w:t>SN</w:t>
            </w:r>
          </w:p>
        </w:tc>
        <w:tc>
          <w:tcPr>
            <w:tcW w:w="5339" w:type="dxa"/>
          </w:tcPr>
          <w:p w14:paraId="7C2EA581" w14:textId="4AFD124E" w:rsidR="00B70A92" w:rsidRDefault="00902DC6" w:rsidP="00B70A92">
            <w:pPr>
              <w:pStyle w:val="ListParagraph"/>
              <w:tabs>
                <w:tab w:val="left" w:pos="840"/>
                <w:tab w:val="left" w:pos="841"/>
              </w:tabs>
              <w:spacing w:before="1"/>
              <w:ind w:left="0" w:right="282" w:firstLine="0"/>
            </w:pPr>
            <w:r>
              <w:t xml:space="preserve">Anticipated </w:t>
            </w:r>
            <w:r w:rsidR="00B70A92">
              <w:t>Deliverable</w:t>
            </w:r>
            <w:r>
              <w:t>s</w:t>
            </w:r>
          </w:p>
        </w:tc>
        <w:tc>
          <w:tcPr>
            <w:tcW w:w="2981" w:type="dxa"/>
          </w:tcPr>
          <w:p w14:paraId="249033EF" w14:textId="61203E6A" w:rsidR="00B70A92" w:rsidRDefault="00B70A92" w:rsidP="00B70A92">
            <w:pPr>
              <w:pStyle w:val="ListParagraph"/>
              <w:tabs>
                <w:tab w:val="left" w:pos="840"/>
                <w:tab w:val="left" w:pos="841"/>
              </w:tabs>
              <w:spacing w:before="1"/>
              <w:ind w:left="0" w:right="282" w:firstLine="0"/>
            </w:pPr>
            <w:r>
              <w:t>Due Date</w:t>
            </w:r>
          </w:p>
        </w:tc>
      </w:tr>
      <w:tr w:rsidR="00B70A92" w14:paraId="30E7C6A0" w14:textId="77777777" w:rsidTr="00553CA7">
        <w:tc>
          <w:tcPr>
            <w:tcW w:w="780" w:type="dxa"/>
          </w:tcPr>
          <w:p w14:paraId="6BF7E38D" w14:textId="42F9F3E6" w:rsidR="00B70A92" w:rsidRDefault="00B70A92" w:rsidP="00B70A92">
            <w:pPr>
              <w:pStyle w:val="ListParagraph"/>
              <w:tabs>
                <w:tab w:val="left" w:pos="840"/>
                <w:tab w:val="left" w:pos="841"/>
              </w:tabs>
              <w:spacing w:before="1"/>
              <w:ind w:left="0" w:right="282" w:firstLine="0"/>
            </w:pPr>
            <w:r>
              <w:t>1</w:t>
            </w:r>
          </w:p>
        </w:tc>
        <w:tc>
          <w:tcPr>
            <w:tcW w:w="5339" w:type="dxa"/>
          </w:tcPr>
          <w:p w14:paraId="1FE17AC1" w14:textId="5EA0848B" w:rsidR="00B70A92" w:rsidRDefault="00E0586C" w:rsidP="00E0586C">
            <w:pPr>
              <w:tabs>
                <w:tab w:val="left" w:pos="840"/>
                <w:tab w:val="left" w:pos="841"/>
              </w:tabs>
              <w:spacing w:before="1"/>
              <w:ind w:right="282"/>
            </w:pPr>
            <w:r>
              <w:t>Develop a plan for usability testing based on discussion with A&amp;T communications</w:t>
            </w:r>
          </w:p>
        </w:tc>
        <w:tc>
          <w:tcPr>
            <w:tcW w:w="2981" w:type="dxa"/>
          </w:tcPr>
          <w:p w14:paraId="282F128F" w14:textId="013ADA82" w:rsidR="00B70A92" w:rsidRDefault="00E0586C" w:rsidP="00B70A92">
            <w:pPr>
              <w:pStyle w:val="ListParagraph"/>
              <w:tabs>
                <w:tab w:val="left" w:pos="840"/>
                <w:tab w:val="left" w:pos="841"/>
              </w:tabs>
              <w:spacing w:before="1"/>
              <w:ind w:left="0" w:right="282" w:firstLine="0"/>
            </w:pPr>
            <w:r>
              <w:t>September 25, 2022</w:t>
            </w:r>
          </w:p>
        </w:tc>
      </w:tr>
      <w:tr w:rsidR="00B70A92" w14:paraId="05A180A3" w14:textId="77777777" w:rsidTr="00553CA7">
        <w:tc>
          <w:tcPr>
            <w:tcW w:w="780" w:type="dxa"/>
          </w:tcPr>
          <w:p w14:paraId="46BBB753" w14:textId="60461688" w:rsidR="00B70A92" w:rsidRDefault="00B70A92" w:rsidP="00B70A92">
            <w:pPr>
              <w:pStyle w:val="ListParagraph"/>
              <w:tabs>
                <w:tab w:val="left" w:pos="840"/>
                <w:tab w:val="left" w:pos="841"/>
              </w:tabs>
              <w:spacing w:before="1"/>
              <w:ind w:left="0" w:right="282" w:firstLine="0"/>
            </w:pPr>
            <w:r>
              <w:t>2</w:t>
            </w:r>
          </w:p>
        </w:tc>
        <w:tc>
          <w:tcPr>
            <w:tcW w:w="5339" w:type="dxa"/>
          </w:tcPr>
          <w:p w14:paraId="2A74C4C5" w14:textId="0C4467C0" w:rsidR="00B70A92" w:rsidRDefault="00E0586C" w:rsidP="00B70A92">
            <w:pPr>
              <w:pStyle w:val="ListParagraph"/>
              <w:tabs>
                <w:tab w:val="left" w:pos="840"/>
                <w:tab w:val="left" w:pos="841"/>
              </w:tabs>
              <w:spacing w:before="1"/>
              <w:ind w:left="0" w:right="282" w:firstLine="0"/>
            </w:pPr>
            <w:r>
              <w:t>Revise the plan based on feedback</w:t>
            </w:r>
          </w:p>
        </w:tc>
        <w:tc>
          <w:tcPr>
            <w:tcW w:w="2981" w:type="dxa"/>
          </w:tcPr>
          <w:p w14:paraId="5CAD7655" w14:textId="2F3D93C4" w:rsidR="00B70A92" w:rsidRDefault="00E0586C" w:rsidP="00B70A92">
            <w:pPr>
              <w:pStyle w:val="ListParagraph"/>
              <w:tabs>
                <w:tab w:val="left" w:pos="840"/>
                <w:tab w:val="left" w:pos="841"/>
              </w:tabs>
              <w:spacing w:before="1"/>
              <w:ind w:left="0" w:right="282" w:firstLine="0"/>
            </w:pPr>
            <w:r>
              <w:t>Sept</w:t>
            </w:r>
            <w:r w:rsidR="00902DC6">
              <w:t xml:space="preserve">ember </w:t>
            </w:r>
            <w:r>
              <w:t>30</w:t>
            </w:r>
            <w:r w:rsidR="00902DC6">
              <w:t>, 2022</w:t>
            </w:r>
          </w:p>
        </w:tc>
      </w:tr>
      <w:tr w:rsidR="00655F5F" w14:paraId="5A09E5C2" w14:textId="77777777" w:rsidTr="00553CA7">
        <w:tc>
          <w:tcPr>
            <w:tcW w:w="780" w:type="dxa"/>
          </w:tcPr>
          <w:p w14:paraId="57C69C8C" w14:textId="48C039CA" w:rsidR="00655F5F" w:rsidRDefault="00655F5F" w:rsidP="00B70A92">
            <w:pPr>
              <w:pStyle w:val="ListParagraph"/>
              <w:tabs>
                <w:tab w:val="left" w:pos="840"/>
                <w:tab w:val="left" w:pos="841"/>
              </w:tabs>
              <w:spacing w:before="1"/>
              <w:ind w:left="0" w:right="282" w:firstLine="0"/>
            </w:pPr>
            <w:r>
              <w:t>3</w:t>
            </w:r>
          </w:p>
        </w:tc>
        <w:tc>
          <w:tcPr>
            <w:tcW w:w="5339" w:type="dxa"/>
          </w:tcPr>
          <w:p w14:paraId="79708D95" w14:textId="4E04C9B1" w:rsidR="00655F5F" w:rsidRDefault="00E0586C" w:rsidP="00B70A92">
            <w:pPr>
              <w:pStyle w:val="ListParagraph"/>
              <w:tabs>
                <w:tab w:val="left" w:pos="840"/>
                <w:tab w:val="left" w:pos="841"/>
              </w:tabs>
              <w:spacing w:before="1"/>
              <w:ind w:left="0" w:right="282" w:firstLine="0"/>
            </w:pPr>
            <w:r>
              <w:t>Implement the plan</w:t>
            </w:r>
          </w:p>
        </w:tc>
        <w:tc>
          <w:tcPr>
            <w:tcW w:w="2981" w:type="dxa"/>
          </w:tcPr>
          <w:p w14:paraId="6DF48E74" w14:textId="60913B84" w:rsidR="00655F5F" w:rsidRDefault="00902DC6" w:rsidP="00B70A92">
            <w:pPr>
              <w:pStyle w:val="ListParagraph"/>
              <w:tabs>
                <w:tab w:val="left" w:pos="840"/>
                <w:tab w:val="left" w:pos="841"/>
              </w:tabs>
              <w:spacing w:before="1"/>
              <w:ind w:left="0" w:right="282" w:firstLine="0"/>
            </w:pPr>
            <w:r>
              <w:t>October</w:t>
            </w:r>
            <w:r w:rsidR="00E0586C">
              <w:t xml:space="preserve"> 20</w:t>
            </w:r>
            <w:r>
              <w:t>, 2022</w:t>
            </w:r>
          </w:p>
        </w:tc>
      </w:tr>
      <w:tr w:rsidR="00655F5F" w14:paraId="258894DE" w14:textId="77777777" w:rsidTr="00553CA7">
        <w:tc>
          <w:tcPr>
            <w:tcW w:w="780" w:type="dxa"/>
          </w:tcPr>
          <w:p w14:paraId="394A4A15" w14:textId="03C3DC6C" w:rsidR="00655F5F" w:rsidRDefault="00655F5F" w:rsidP="00B70A92">
            <w:pPr>
              <w:pStyle w:val="ListParagraph"/>
              <w:tabs>
                <w:tab w:val="left" w:pos="840"/>
                <w:tab w:val="left" w:pos="841"/>
              </w:tabs>
              <w:spacing w:before="1"/>
              <w:ind w:left="0" w:right="282" w:firstLine="0"/>
            </w:pPr>
            <w:r>
              <w:t>4</w:t>
            </w:r>
          </w:p>
        </w:tc>
        <w:tc>
          <w:tcPr>
            <w:tcW w:w="5339" w:type="dxa"/>
          </w:tcPr>
          <w:p w14:paraId="7208D33B" w14:textId="0F8C4C0E" w:rsidR="00655F5F" w:rsidRDefault="00E0586C" w:rsidP="00B70A92">
            <w:pPr>
              <w:pStyle w:val="ListParagraph"/>
              <w:tabs>
                <w:tab w:val="left" w:pos="840"/>
                <w:tab w:val="left" w:pos="841"/>
              </w:tabs>
              <w:spacing w:before="1"/>
              <w:ind w:left="0" w:right="282" w:firstLine="0"/>
            </w:pPr>
            <w:r>
              <w:t xml:space="preserve">Present a written report and </w:t>
            </w:r>
            <w:r w:rsidR="00902DC6">
              <w:t>PowerPoint</w:t>
            </w:r>
            <w:r>
              <w:t xml:space="preserve"> presentation of the key insights and actionable recommendations</w:t>
            </w:r>
          </w:p>
        </w:tc>
        <w:tc>
          <w:tcPr>
            <w:tcW w:w="2981" w:type="dxa"/>
          </w:tcPr>
          <w:p w14:paraId="579C62D6" w14:textId="4499CE48" w:rsidR="00655F5F" w:rsidRDefault="00E0586C" w:rsidP="00B70A92">
            <w:pPr>
              <w:pStyle w:val="ListParagraph"/>
              <w:tabs>
                <w:tab w:val="left" w:pos="840"/>
                <w:tab w:val="left" w:pos="841"/>
              </w:tabs>
              <w:spacing w:before="1"/>
              <w:ind w:left="0" w:right="282" w:firstLine="0"/>
            </w:pPr>
            <w:r>
              <w:t>Oct</w:t>
            </w:r>
            <w:r w:rsidR="00902DC6">
              <w:t>ober</w:t>
            </w:r>
            <w:r>
              <w:t xml:space="preserve"> 25</w:t>
            </w:r>
            <w:r w:rsidR="00902DC6">
              <w:t>, 2022</w:t>
            </w:r>
          </w:p>
        </w:tc>
      </w:tr>
    </w:tbl>
    <w:p w14:paraId="45399AC2" w14:textId="77777777" w:rsidR="00D57108" w:rsidRDefault="00D57108">
      <w:pPr>
        <w:pStyle w:val="Heading1"/>
      </w:pPr>
    </w:p>
    <w:p w14:paraId="705E4BA0" w14:textId="506EDAD6" w:rsidR="00F22E1E" w:rsidRPr="00760833" w:rsidRDefault="00F22E1E" w:rsidP="00F22E1E">
      <w:r>
        <w:t>The</w:t>
      </w:r>
      <w:r w:rsidR="00655F5F">
        <w:t xml:space="preserve"> writer</w:t>
      </w:r>
      <w:r w:rsidRPr="00760833">
        <w:t xml:space="preserve"> will provide A&amp;T with an in</w:t>
      </w:r>
      <w:r>
        <w:t xml:space="preserve">voice at the end of each month based on number of hours worked. </w:t>
      </w:r>
    </w:p>
    <w:p w14:paraId="366106DA" w14:textId="77777777" w:rsidR="009F2009" w:rsidRDefault="009F2009" w:rsidP="00F22E1E">
      <w:pPr>
        <w:ind w:right="-604"/>
        <w:rPr>
          <w:b/>
          <w:lang w:val="en-GB" w:eastAsia="en-GB"/>
        </w:rPr>
      </w:pPr>
    </w:p>
    <w:p w14:paraId="6C8822EC" w14:textId="2CC5ABEA" w:rsidR="00F22E1E" w:rsidRPr="00AF1DDF" w:rsidRDefault="00F22E1E" w:rsidP="00F22E1E">
      <w:pPr>
        <w:ind w:right="-604"/>
        <w:rPr>
          <w:b/>
          <w:lang w:val="en-GB" w:eastAsia="en-GB"/>
        </w:rPr>
      </w:pPr>
      <w:r w:rsidRPr="00AF1DDF">
        <w:rPr>
          <w:b/>
          <w:lang w:val="en-GB" w:eastAsia="en-GB"/>
        </w:rPr>
        <w:t>Submission Requirements:</w:t>
      </w:r>
    </w:p>
    <w:p w14:paraId="3DB0A3DB" w14:textId="6F7E5C52" w:rsidR="00F22E1E" w:rsidRPr="00AF1DDF" w:rsidRDefault="00F22E1E" w:rsidP="00F22E1E">
      <w:pPr>
        <w:ind w:right="-604"/>
        <w:rPr>
          <w:b/>
          <w:lang w:val="en-GB" w:eastAsia="en-GB"/>
        </w:rPr>
      </w:pPr>
      <w:r w:rsidRPr="00AF1DDF">
        <w:rPr>
          <w:lang w:val="en-GB" w:eastAsia="en-GB"/>
        </w:rPr>
        <w:t>To be considered, bidders should provide the following (</w:t>
      </w:r>
      <w:r w:rsidRPr="00AF1DDF">
        <w:rPr>
          <w:b/>
          <w:lang w:val="en-GB" w:eastAsia="en-GB"/>
        </w:rPr>
        <w:t xml:space="preserve">not to exceed a total of </w:t>
      </w:r>
      <w:r w:rsidR="0031156E">
        <w:rPr>
          <w:b/>
          <w:lang w:val="en-GB" w:eastAsia="en-GB"/>
        </w:rPr>
        <w:t>1</w:t>
      </w:r>
      <w:r w:rsidRPr="00AF1DDF">
        <w:rPr>
          <w:b/>
          <w:lang w:val="en-GB" w:eastAsia="en-GB"/>
        </w:rPr>
        <w:t xml:space="preserve"> page, </w:t>
      </w:r>
      <w:r w:rsidRPr="00AF1DDF">
        <w:rPr>
          <w:lang w:val="en-GB" w:eastAsia="en-GB"/>
        </w:rPr>
        <w:t xml:space="preserve">not including </w:t>
      </w:r>
      <w:r w:rsidR="00CE1160">
        <w:rPr>
          <w:lang w:val="en-GB" w:eastAsia="en-GB"/>
        </w:rPr>
        <w:t xml:space="preserve">CV, </w:t>
      </w:r>
      <w:r w:rsidRPr="00AF1DDF">
        <w:rPr>
          <w:lang w:val="en-GB" w:eastAsia="en-GB"/>
        </w:rPr>
        <w:t>examples of past work and cost proposal):</w:t>
      </w:r>
    </w:p>
    <w:p w14:paraId="3C8AE698" w14:textId="06FE9C2A" w:rsidR="00F22E1E" w:rsidRPr="00AF1DDF" w:rsidRDefault="00F22E1E" w:rsidP="00F22E1E">
      <w:pPr>
        <w:pStyle w:val="ListParagraph"/>
        <w:widowControl/>
        <w:numPr>
          <w:ilvl w:val="0"/>
          <w:numId w:val="2"/>
        </w:numPr>
        <w:autoSpaceDE/>
        <w:autoSpaceDN/>
        <w:ind w:right="-604"/>
        <w:contextualSpacing/>
        <w:rPr>
          <w:lang w:val="en-GB" w:eastAsia="en-GB"/>
        </w:rPr>
      </w:pPr>
      <w:r w:rsidRPr="00AF1DDF">
        <w:rPr>
          <w:lang w:val="en-GB" w:eastAsia="en-GB"/>
        </w:rPr>
        <w:t>A description o</w:t>
      </w:r>
      <w:r>
        <w:rPr>
          <w:lang w:val="en-GB" w:eastAsia="en-GB"/>
        </w:rPr>
        <w:t>f the bidder’s experience in</w:t>
      </w:r>
      <w:r w:rsidR="00655F5F">
        <w:rPr>
          <w:lang w:val="en-GB" w:eastAsia="en-GB"/>
        </w:rPr>
        <w:t xml:space="preserve"> </w:t>
      </w:r>
      <w:r w:rsidR="00E0586C">
        <w:rPr>
          <w:lang w:val="en-GB" w:eastAsia="en-GB"/>
        </w:rPr>
        <w:t>usability testing</w:t>
      </w:r>
      <w:r>
        <w:rPr>
          <w:lang w:val="en-GB" w:eastAsia="en-GB"/>
        </w:rPr>
        <w:t>.</w:t>
      </w:r>
      <w:r w:rsidRPr="00AF1DDF">
        <w:rPr>
          <w:lang w:val="en-GB" w:eastAsia="en-GB"/>
        </w:rPr>
        <w:t xml:space="preserve"> </w:t>
      </w:r>
    </w:p>
    <w:p w14:paraId="37BD2D7C" w14:textId="77777777" w:rsidR="00F22E1E" w:rsidRDefault="00F22E1E" w:rsidP="00F22E1E">
      <w:pPr>
        <w:pStyle w:val="ListParagraph"/>
        <w:widowControl/>
        <w:numPr>
          <w:ilvl w:val="0"/>
          <w:numId w:val="2"/>
        </w:numPr>
        <w:autoSpaceDE/>
        <w:autoSpaceDN/>
        <w:ind w:right="-604"/>
        <w:contextualSpacing/>
        <w:rPr>
          <w:lang w:val="en-GB" w:eastAsia="en-GB"/>
        </w:rPr>
      </w:pPr>
      <w:r w:rsidRPr="00AF1DDF">
        <w:rPr>
          <w:lang w:val="en-GB" w:eastAsia="en-GB"/>
        </w:rPr>
        <w:t>Three references for past performance, including contact information for each.</w:t>
      </w:r>
    </w:p>
    <w:p w14:paraId="67A9D5BD" w14:textId="79AF9FED" w:rsidR="00164F87" w:rsidRDefault="00164F87" w:rsidP="00F22E1E">
      <w:pPr>
        <w:pStyle w:val="ListParagraph"/>
        <w:widowControl/>
        <w:numPr>
          <w:ilvl w:val="0"/>
          <w:numId w:val="2"/>
        </w:numPr>
        <w:autoSpaceDE/>
        <w:autoSpaceDN/>
        <w:ind w:right="-604"/>
        <w:contextualSpacing/>
        <w:rPr>
          <w:lang w:val="en-GB" w:eastAsia="en-GB"/>
        </w:rPr>
      </w:pPr>
      <w:r>
        <w:rPr>
          <w:lang w:val="en-GB" w:eastAsia="en-GB"/>
        </w:rPr>
        <w:t>Propose</w:t>
      </w:r>
      <w:r w:rsidR="00FD7CBD">
        <w:rPr>
          <w:lang w:val="en-GB" w:eastAsia="en-GB"/>
        </w:rPr>
        <w:t>d</w:t>
      </w:r>
      <w:r>
        <w:rPr>
          <w:lang w:val="en-GB" w:eastAsia="en-GB"/>
        </w:rPr>
        <w:t xml:space="preserve"> </w:t>
      </w:r>
      <w:r w:rsidR="00FD7CBD">
        <w:rPr>
          <w:lang w:val="en-GB" w:eastAsia="en-GB"/>
        </w:rPr>
        <w:t>c</w:t>
      </w:r>
      <w:r w:rsidR="005B3420">
        <w:rPr>
          <w:lang w:val="en-GB" w:eastAsia="en-GB"/>
        </w:rPr>
        <w:t>alendar of activities</w:t>
      </w:r>
    </w:p>
    <w:p w14:paraId="27C5BD93" w14:textId="77777777" w:rsidR="00C44CFD" w:rsidRDefault="00C44CFD" w:rsidP="00C44CFD">
      <w:pPr>
        <w:pStyle w:val="ListParagraph"/>
        <w:widowControl/>
        <w:numPr>
          <w:ilvl w:val="0"/>
          <w:numId w:val="2"/>
        </w:numPr>
        <w:autoSpaceDE/>
        <w:autoSpaceDN/>
        <w:ind w:right="-604"/>
        <w:contextualSpacing/>
        <w:rPr>
          <w:lang w:val="en-GB" w:eastAsia="en-GB"/>
        </w:rPr>
      </w:pPr>
      <w:r>
        <w:rPr>
          <w:lang w:val="en-GB" w:eastAsia="en-GB"/>
        </w:rPr>
        <w:t>Cost proposal (see below)</w:t>
      </w:r>
    </w:p>
    <w:p w14:paraId="7D468CBB" w14:textId="4F698197" w:rsidR="0077486E" w:rsidRDefault="005330D8" w:rsidP="00F22E1E">
      <w:pPr>
        <w:pStyle w:val="ListParagraph"/>
        <w:widowControl/>
        <w:numPr>
          <w:ilvl w:val="0"/>
          <w:numId w:val="2"/>
        </w:numPr>
        <w:autoSpaceDE/>
        <w:autoSpaceDN/>
        <w:ind w:right="-604"/>
        <w:contextualSpacing/>
        <w:rPr>
          <w:lang w:val="en-GB" w:eastAsia="en-GB"/>
        </w:rPr>
      </w:pPr>
      <w:r>
        <w:rPr>
          <w:lang w:val="en-GB" w:eastAsia="en-GB"/>
        </w:rPr>
        <w:t xml:space="preserve">An updated </w:t>
      </w:r>
      <w:r w:rsidR="0077486E">
        <w:rPr>
          <w:lang w:val="en-GB" w:eastAsia="en-GB"/>
        </w:rPr>
        <w:t>CV</w:t>
      </w:r>
      <w:r w:rsidR="00E0586C">
        <w:rPr>
          <w:lang w:val="en-GB" w:eastAsia="en-GB"/>
        </w:rPr>
        <w:t>(s)</w:t>
      </w:r>
    </w:p>
    <w:p w14:paraId="0EC5BDBF" w14:textId="77777777" w:rsidR="00795258" w:rsidRDefault="0077486E" w:rsidP="00795258">
      <w:pPr>
        <w:pStyle w:val="ListParagraph"/>
        <w:widowControl/>
        <w:numPr>
          <w:ilvl w:val="0"/>
          <w:numId w:val="2"/>
        </w:numPr>
        <w:autoSpaceDE/>
        <w:autoSpaceDN/>
        <w:ind w:right="-604"/>
        <w:contextualSpacing/>
        <w:rPr>
          <w:lang w:val="en-GB" w:eastAsia="en-GB"/>
        </w:rPr>
      </w:pPr>
      <w:r>
        <w:rPr>
          <w:lang w:val="en-GB" w:eastAsia="en-GB"/>
        </w:rPr>
        <w:t>Email address to allow Alive &amp; Thrive to confirm receipt of the submission.</w:t>
      </w:r>
    </w:p>
    <w:p w14:paraId="55D34476" w14:textId="77777777" w:rsidR="00795258" w:rsidRDefault="00795258" w:rsidP="00795258">
      <w:pPr>
        <w:widowControl/>
        <w:autoSpaceDE/>
        <w:autoSpaceDN/>
        <w:ind w:right="-604"/>
        <w:contextualSpacing/>
        <w:rPr>
          <w:lang w:val="en-GB" w:eastAsia="en-GB"/>
        </w:rPr>
      </w:pPr>
    </w:p>
    <w:p w14:paraId="3BFC3C57" w14:textId="77777777" w:rsidR="00D540EF" w:rsidRDefault="00D540EF" w:rsidP="00D540EF">
      <w:pPr>
        <w:pStyle w:val="paragraph"/>
        <w:spacing w:before="0" w:beforeAutospacing="0" w:after="0" w:afterAutospacing="0"/>
        <w:ind w:right="-615"/>
        <w:textAlignment w:val="baseline"/>
        <w:rPr>
          <w:rStyle w:val="eop"/>
          <w:sz w:val="22"/>
          <w:szCs w:val="22"/>
        </w:rPr>
      </w:pPr>
      <w:r>
        <w:rPr>
          <w:rStyle w:val="eop"/>
          <w:b/>
          <w:bCs/>
          <w:sz w:val="22"/>
          <w:szCs w:val="22"/>
        </w:rPr>
        <w:t xml:space="preserve">Cost Proposal:  </w:t>
      </w:r>
      <w:r>
        <w:rPr>
          <w:rFonts w:eastAsiaTheme="minorEastAsia"/>
          <w:sz w:val="22"/>
          <w:szCs w:val="22"/>
        </w:rPr>
        <w:t>The agreement will be issued to the responsive offer that is selected as the highest scorer on a best value basis. Certified invoices will be submitted on a routine basis and payments will be contingent on timely submission and approval of deliverables.</w:t>
      </w:r>
    </w:p>
    <w:p w14:paraId="56A3B57A" w14:textId="77777777" w:rsidR="00D540EF" w:rsidRDefault="00D540EF" w:rsidP="00D540EF">
      <w:pPr>
        <w:pStyle w:val="ListParagraph"/>
        <w:ind w:left="0" w:right="-604"/>
        <w:jc w:val="both"/>
        <w:rPr>
          <w:b/>
          <w:u w:val="single"/>
          <w:lang w:val="en-GB" w:eastAsia="en-GB"/>
        </w:rPr>
      </w:pPr>
    </w:p>
    <w:p w14:paraId="6175DFA3" w14:textId="77777777" w:rsidR="00D540EF" w:rsidRDefault="00D540EF" w:rsidP="000222C4">
      <w:pPr>
        <w:pStyle w:val="ListParagraph"/>
        <w:ind w:left="0" w:right="-604" w:firstLine="0"/>
        <w:jc w:val="both"/>
        <w:rPr>
          <w:b/>
          <w:u w:val="single"/>
          <w:lang w:val="en-GB" w:eastAsia="en-GB"/>
        </w:rPr>
      </w:pPr>
      <w:r>
        <w:rPr>
          <w:b/>
          <w:u w:val="single"/>
          <w:lang w:val="en-GB" w:eastAsia="en-GB"/>
        </w:rPr>
        <w:t xml:space="preserve">For individual consultants: </w:t>
      </w:r>
    </w:p>
    <w:p w14:paraId="6DC2BC34" w14:textId="7BADFC2D" w:rsidR="00D540EF" w:rsidRPr="00A90DCB" w:rsidRDefault="00D540EF" w:rsidP="00A90DCB">
      <w:pPr>
        <w:autoSpaceDE/>
        <w:autoSpaceDN/>
        <w:snapToGrid w:val="0"/>
        <w:contextualSpacing/>
        <w:rPr>
          <w:color w:val="000000"/>
        </w:rPr>
      </w:pPr>
      <w:r w:rsidRPr="00A90DCB">
        <w:rPr>
          <w:color w:val="000000"/>
        </w:rPr>
        <w:t xml:space="preserve">A completed and signed biodata form, </w:t>
      </w:r>
      <w:proofErr w:type="gramStart"/>
      <w:r w:rsidRPr="00A90DCB">
        <w:rPr>
          <w:color w:val="000000"/>
        </w:rPr>
        <w:t>CV</w:t>
      </w:r>
      <w:proofErr w:type="gramEnd"/>
      <w:r w:rsidRPr="00A90DCB">
        <w:rPr>
          <w:color w:val="000000"/>
        </w:rPr>
        <w:t xml:space="preserve"> and a proposed daily rate (biodata form posted with this RF</w:t>
      </w:r>
      <w:r w:rsidR="00D337F4" w:rsidRPr="00A90DCB">
        <w:rPr>
          <w:color w:val="000000"/>
        </w:rPr>
        <w:t>P</w:t>
      </w:r>
      <w:r w:rsidRPr="00A90DCB">
        <w:rPr>
          <w:color w:val="000000"/>
        </w:rPr>
        <w:t>).</w:t>
      </w:r>
    </w:p>
    <w:p w14:paraId="62BAF9DF" w14:textId="77777777" w:rsidR="00D540EF" w:rsidRDefault="00D540EF" w:rsidP="00D540EF">
      <w:pPr>
        <w:ind w:left="720"/>
        <w:rPr>
          <w:b/>
          <w:bCs/>
          <w:color w:val="000000"/>
        </w:rPr>
      </w:pPr>
    </w:p>
    <w:p w14:paraId="3A10CED5" w14:textId="77777777" w:rsidR="00D540EF" w:rsidRDefault="00D540EF" w:rsidP="00D540EF">
      <w:pPr>
        <w:rPr>
          <w:b/>
          <w:bCs/>
          <w:color w:val="000000"/>
        </w:rPr>
      </w:pPr>
      <w:r>
        <w:rPr>
          <w:b/>
          <w:bCs/>
          <w:color w:val="000000"/>
        </w:rPr>
        <w:t>For Companies:</w:t>
      </w:r>
    </w:p>
    <w:p w14:paraId="31DB8DA8" w14:textId="77777777" w:rsidR="00D540EF" w:rsidRDefault="00D540EF" w:rsidP="00D540EF">
      <w:pPr>
        <w:rPr>
          <w:color w:val="000000"/>
        </w:rPr>
      </w:pPr>
      <w:r>
        <w:rPr>
          <w:color w:val="000000"/>
        </w:rPr>
        <w:t>Please provide a budget that reflects costs (including unit cost) for the type of activity, and a brief explanation that describes and justifies the cost assumptions for each category and line item in the budget spreadsheet. Please provide corporate rate card if available.  To the extent that indirect costs are applicable, they are subject to the following limits:</w:t>
      </w:r>
    </w:p>
    <w:p w14:paraId="4ED63C6C" w14:textId="77777777" w:rsidR="00D540EF" w:rsidRDefault="00D540EF" w:rsidP="00D540EF">
      <w:pPr>
        <w:widowControl/>
        <w:numPr>
          <w:ilvl w:val="0"/>
          <w:numId w:val="7"/>
        </w:numPr>
        <w:autoSpaceDE/>
        <w:autoSpaceDN/>
        <w:ind w:left="1080" w:firstLine="0"/>
        <w:rPr>
          <w:color w:val="000000"/>
        </w:rPr>
      </w:pPr>
      <w:r>
        <w:rPr>
          <w:color w:val="000000"/>
        </w:rPr>
        <w:t>0% for government agencies, other private foundations, and for-profit organizations</w:t>
      </w:r>
    </w:p>
    <w:p w14:paraId="0BD8E5A3" w14:textId="77777777" w:rsidR="00D540EF" w:rsidRDefault="00D540EF" w:rsidP="00D540EF">
      <w:pPr>
        <w:widowControl/>
        <w:numPr>
          <w:ilvl w:val="0"/>
          <w:numId w:val="7"/>
        </w:numPr>
        <w:autoSpaceDE/>
        <w:autoSpaceDN/>
        <w:ind w:left="1080" w:firstLine="0"/>
        <w:rPr>
          <w:color w:val="000000"/>
        </w:rPr>
      </w:pPr>
      <w:r>
        <w:rPr>
          <w:color w:val="000000"/>
        </w:rPr>
        <w:t xml:space="preserve">up to 10% for U.S. universities and other academic institutions </w:t>
      </w:r>
    </w:p>
    <w:p w14:paraId="1AEE4EFF" w14:textId="77777777" w:rsidR="00D540EF" w:rsidRDefault="00D540EF" w:rsidP="00D540EF">
      <w:pPr>
        <w:widowControl/>
        <w:numPr>
          <w:ilvl w:val="0"/>
          <w:numId w:val="7"/>
        </w:numPr>
        <w:autoSpaceDE/>
        <w:autoSpaceDN/>
        <w:ind w:left="1080" w:firstLine="0"/>
        <w:rPr>
          <w:color w:val="000000"/>
        </w:rPr>
      </w:pPr>
      <w:r>
        <w:rPr>
          <w:color w:val="000000"/>
        </w:rPr>
        <w:t xml:space="preserve">up to 15% for non-U.S. academic institutions and all private voluntary and non-government organizations, regardless of location.   </w:t>
      </w:r>
    </w:p>
    <w:p w14:paraId="435949A1" w14:textId="77777777" w:rsidR="00D540EF" w:rsidRDefault="00D540EF" w:rsidP="00D540EF">
      <w:pPr>
        <w:rPr>
          <w:color w:val="000000"/>
        </w:rPr>
      </w:pPr>
    </w:p>
    <w:p w14:paraId="536A79C8" w14:textId="77777777" w:rsidR="00D540EF" w:rsidRDefault="00D540EF" w:rsidP="00D540EF">
      <w:pPr>
        <w:rPr>
          <w:b/>
          <w:color w:val="000000"/>
        </w:rPr>
      </w:pPr>
      <w:r>
        <w:rPr>
          <w:color w:val="000000"/>
        </w:rPr>
        <w:t xml:space="preserve">If the organization has lower indirect rates, the lower rates should be used.  </w:t>
      </w:r>
    </w:p>
    <w:p w14:paraId="36CED4C2" w14:textId="77777777" w:rsidR="00D540EF" w:rsidRDefault="00D540EF" w:rsidP="00D540EF">
      <w:pPr>
        <w:ind w:left="720"/>
        <w:rPr>
          <w:color w:val="000000"/>
        </w:rPr>
      </w:pPr>
    </w:p>
    <w:p w14:paraId="37C4EDEB" w14:textId="518920D5" w:rsidR="00D540EF" w:rsidRDefault="00D540EF" w:rsidP="00D540EF">
      <w:pPr>
        <w:rPr>
          <w:color w:val="000000"/>
        </w:rPr>
      </w:pPr>
      <w:r>
        <w:rPr>
          <w:color w:val="000000"/>
        </w:rPr>
        <w:t xml:space="preserve">Offerors will submit with their proposals a proposed budget with sufficient detail to allow evaluation of elements of costs proposed. </w:t>
      </w:r>
      <w:r>
        <w:rPr>
          <w:b/>
          <w:color w:val="000000"/>
        </w:rPr>
        <w:t xml:space="preserve">All quotes must be in US Dollars.  </w:t>
      </w:r>
      <w:r>
        <w:rPr>
          <w:color w:val="000000"/>
        </w:rPr>
        <w:t>Cost effectiveness is considered critical. The budget format posted with this RF</w:t>
      </w:r>
      <w:r w:rsidR="00C36BCF">
        <w:rPr>
          <w:color w:val="000000"/>
        </w:rPr>
        <w:t>P</w:t>
      </w:r>
      <w:r>
        <w:rPr>
          <w:color w:val="000000"/>
        </w:rPr>
        <w:t xml:space="preserve">. </w:t>
      </w:r>
    </w:p>
    <w:p w14:paraId="0D0005C6" w14:textId="77777777" w:rsidR="00106F08" w:rsidRDefault="00106F08" w:rsidP="00795258">
      <w:pPr>
        <w:widowControl/>
        <w:autoSpaceDE/>
        <w:autoSpaceDN/>
        <w:ind w:right="-604"/>
        <w:contextualSpacing/>
        <w:rPr>
          <w:lang w:val="en-GB" w:eastAsia="en-GB"/>
        </w:rPr>
      </w:pPr>
    </w:p>
    <w:p w14:paraId="2D152B3E" w14:textId="77777777" w:rsidR="00106F08" w:rsidRDefault="00106F08" w:rsidP="00795258">
      <w:pPr>
        <w:widowControl/>
        <w:autoSpaceDE/>
        <w:autoSpaceDN/>
        <w:ind w:right="-604"/>
        <w:contextualSpacing/>
        <w:rPr>
          <w:lang w:val="en-GB" w:eastAsia="en-GB"/>
        </w:rPr>
      </w:pPr>
    </w:p>
    <w:p w14:paraId="37B95324" w14:textId="5403B3CA" w:rsidR="00906A79" w:rsidRPr="00742616" w:rsidRDefault="00795258" w:rsidP="00795258">
      <w:pPr>
        <w:widowControl/>
        <w:autoSpaceDE/>
        <w:autoSpaceDN/>
        <w:ind w:right="-604"/>
        <w:contextualSpacing/>
        <w:rPr>
          <w:color w:val="548DD4" w:themeColor="text2" w:themeTint="99"/>
          <w:lang w:val="en-GB" w:eastAsia="en-GB"/>
        </w:rPr>
      </w:pPr>
      <w:r w:rsidRPr="00742616">
        <w:rPr>
          <w:color w:val="548DD4" w:themeColor="text2" w:themeTint="99"/>
          <w:lang w:val="en-GB" w:eastAsia="en-GB"/>
        </w:rPr>
        <w:t xml:space="preserve">NOTE: Applications that do not include </w:t>
      </w:r>
      <w:proofErr w:type="gramStart"/>
      <w:r w:rsidRPr="00742616">
        <w:rPr>
          <w:color w:val="548DD4" w:themeColor="text2" w:themeTint="99"/>
          <w:lang w:val="en-GB" w:eastAsia="en-GB"/>
        </w:rPr>
        <w:t>all of</w:t>
      </w:r>
      <w:proofErr w:type="gramEnd"/>
      <w:r w:rsidRPr="00742616">
        <w:rPr>
          <w:color w:val="548DD4" w:themeColor="text2" w:themeTint="99"/>
          <w:lang w:val="en-GB" w:eastAsia="en-GB"/>
        </w:rPr>
        <w:t xml:space="preserve"> the above materials will NOT be considered.</w:t>
      </w:r>
    </w:p>
    <w:p w14:paraId="2086E2F3" w14:textId="77777777" w:rsidR="00F22E1E" w:rsidRPr="00AF1DDF" w:rsidRDefault="00F22E1E" w:rsidP="00F22E1E">
      <w:pPr>
        <w:pStyle w:val="ListParagraph"/>
        <w:ind w:right="-604"/>
        <w:rPr>
          <w:lang w:val="en-GB" w:eastAsia="en-GB"/>
        </w:rPr>
      </w:pPr>
    </w:p>
    <w:p w14:paraId="1F2DE9FE" w14:textId="77777777" w:rsidR="00742616" w:rsidRDefault="00742616">
      <w:pPr>
        <w:rPr>
          <w:rFonts w:eastAsiaTheme="minorHAnsi"/>
          <w:b/>
          <w:lang w:bidi="ar-SA"/>
        </w:rPr>
      </w:pPr>
      <w:r>
        <w:rPr>
          <w:b/>
        </w:rPr>
        <w:br w:type="page"/>
      </w:r>
    </w:p>
    <w:p w14:paraId="71BD4AA2" w14:textId="54997BC4" w:rsidR="00F22E1E" w:rsidRPr="00AF1DDF" w:rsidRDefault="00F22E1E" w:rsidP="00F22E1E">
      <w:pPr>
        <w:pStyle w:val="NormalWeb"/>
        <w:spacing w:before="0" w:beforeAutospacing="0" w:after="120" w:afterAutospacing="0"/>
        <w:rPr>
          <w:b/>
          <w:sz w:val="22"/>
          <w:szCs w:val="22"/>
        </w:rPr>
      </w:pPr>
      <w:r w:rsidRPr="00AF1DDF">
        <w:rPr>
          <w:b/>
          <w:sz w:val="22"/>
          <w:szCs w:val="22"/>
        </w:rPr>
        <w:lastRenderedPageBreak/>
        <w:t>CRITERIA FOR EVALUATION</w:t>
      </w:r>
    </w:p>
    <w:p w14:paraId="05E51833" w14:textId="77777777" w:rsidR="00F22E1E" w:rsidRPr="000878D8" w:rsidRDefault="00F22E1E" w:rsidP="00F22E1E">
      <w:pPr>
        <w:rPr>
          <w:b/>
          <w:color w:val="000000"/>
        </w:rPr>
      </w:pPr>
      <w:r w:rsidRPr="00AF1DDF">
        <w:rPr>
          <w:b/>
          <w:color w:val="000000"/>
        </w:rPr>
        <w:t xml:space="preserve">Bids will be evaluated and ranked by a committee on a best value basis according to the criteria below.  Offerors able to provide all of requirements listed above may be considered. </w:t>
      </w:r>
    </w:p>
    <w:p w14:paraId="69476B12" w14:textId="77777777" w:rsidR="009F2009" w:rsidRDefault="009F2009" w:rsidP="00F22E1E">
      <w:pPr>
        <w:rPr>
          <w:b/>
        </w:rPr>
      </w:pPr>
    </w:p>
    <w:p w14:paraId="40DE0D02" w14:textId="27866117" w:rsidR="00F22E1E" w:rsidRPr="000878D8" w:rsidRDefault="00F22E1E" w:rsidP="00F22E1E">
      <w:pPr>
        <w:rPr>
          <w:b/>
        </w:rPr>
      </w:pPr>
      <w:r w:rsidRPr="000878D8">
        <w:rPr>
          <w:b/>
        </w:rPr>
        <w:t>Selection shall be based on the following weighted categories:</w:t>
      </w:r>
    </w:p>
    <w:p w14:paraId="21A5CD36" w14:textId="11EBEBBD" w:rsidR="00F22E1E" w:rsidRPr="00FA2F6A" w:rsidRDefault="00F22E1E" w:rsidP="00F22E1E">
      <w:pPr>
        <w:pStyle w:val="NormalWeb"/>
        <w:numPr>
          <w:ilvl w:val="0"/>
          <w:numId w:val="3"/>
        </w:numPr>
        <w:spacing w:before="0" w:beforeAutospacing="0" w:after="120" w:afterAutospacing="0"/>
        <w:rPr>
          <w:sz w:val="22"/>
          <w:szCs w:val="22"/>
        </w:rPr>
      </w:pPr>
      <w:r>
        <w:rPr>
          <w:sz w:val="22"/>
          <w:szCs w:val="22"/>
        </w:rPr>
        <w:t>Examples of Relevant Past Work and Experience</w:t>
      </w:r>
      <w:r w:rsidR="00CD477B">
        <w:rPr>
          <w:sz w:val="22"/>
          <w:szCs w:val="22"/>
        </w:rPr>
        <w:t xml:space="preserve"> </w:t>
      </w:r>
      <w:r w:rsidR="00655F5F">
        <w:rPr>
          <w:sz w:val="22"/>
          <w:szCs w:val="22"/>
        </w:rPr>
        <w:t xml:space="preserve">of </w:t>
      </w:r>
      <w:r w:rsidR="00E0586C">
        <w:rPr>
          <w:sz w:val="22"/>
          <w:szCs w:val="22"/>
        </w:rPr>
        <w:t>usability testing</w:t>
      </w:r>
      <w:r w:rsidRPr="00FA2F6A">
        <w:rPr>
          <w:sz w:val="22"/>
          <w:szCs w:val="22"/>
        </w:rPr>
        <w:t xml:space="preserve">: </w:t>
      </w:r>
      <w:r>
        <w:rPr>
          <w:sz w:val="22"/>
          <w:szCs w:val="22"/>
        </w:rPr>
        <w:t>6</w:t>
      </w:r>
      <w:r w:rsidRPr="00FA2F6A">
        <w:rPr>
          <w:sz w:val="22"/>
          <w:szCs w:val="22"/>
        </w:rPr>
        <w:t>0%</w:t>
      </w:r>
    </w:p>
    <w:p w14:paraId="70BE4F08" w14:textId="77777777" w:rsidR="00F22E1E" w:rsidRPr="00FA2F6A" w:rsidRDefault="00F22E1E" w:rsidP="00F22E1E">
      <w:pPr>
        <w:pStyle w:val="NormalWeb"/>
        <w:numPr>
          <w:ilvl w:val="0"/>
          <w:numId w:val="3"/>
        </w:numPr>
        <w:spacing w:before="0" w:beforeAutospacing="0" w:after="120" w:afterAutospacing="0"/>
        <w:rPr>
          <w:sz w:val="22"/>
          <w:szCs w:val="22"/>
        </w:rPr>
      </w:pPr>
      <w:r w:rsidRPr="00FA2F6A">
        <w:rPr>
          <w:sz w:val="22"/>
          <w:szCs w:val="22"/>
        </w:rPr>
        <w:t>Cost Proposal: 20%</w:t>
      </w:r>
    </w:p>
    <w:p w14:paraId="4FEACB82" w14:textId="77777777" w:rsidR="00F22E1E" w:rsidRPr="00FA2F6A" w:rsidRDefault="00F22E1E" w:rsidP="00F22E1E">
      <w:pPr>
        <w:pStyle w:val="NormalWeb"/>
        <w:numPr>
          <w:ilvl w:val="0"/>
          <w:numId w:val="3"/>
        </w:numPr>
        <w:spacing w:before="0" w:beforeAutospacing="0" w:after="120" w:afterAutospacing="0"/>
        <w:rPr>
          <w:sz w:val="22"/>
          <w:szCs w:val="22"/>
        </w:rPr>
      </w:pPr>
      <w:r>
        <w:rPr>
          <w:sz w:val="22"/>
          <w:szCs w:val="22"/>
        </w:rPr>
        <w:t>References: 2</w:t>
      </w:r>
      <w:r w:rsidRPr="00FA2F6A">
        <w:rPr>
          <w:sz w:val="22"/>
          <w:szCs w:val="22"/>
        </w:rPr>
        <w:t>0%</w:t>
      </w:r>
    </w:p>
    <w:p w14:paraId="7D8E1FC0" w14:textId="77777777" w:rsidR="00F22E1E" w:rsidRPr="00AF1DDF" w:rsidRDefault="00F22E1E" w:rsidP="00F22E1E">
      <w:pPr>
        <w:rPr>
          <w:i/>
          <w:color w:val="365F91" w:themeColor="accent1" w:themeShade="BF"/>
        </w:rPr>
      </w:pPr>
      <w:r w:rsidRPr="000878D8">
        <w:rPr>
          <w:b/>
          <w:i/>
        </w:rPr>
        <w:t xml:space="preserve"> </w:t>
      </w:r>
      <w:r w:rsidRPr="00AF1DDF">
        <w:rPr>
          <w:i/>
          <w:color w:val="365F91" w:themeColor="accent1" w:themeShade="BF"/>
        </w:rPr>
        <w:t xml:space="preserve">NOTE:  FHI Solutions will not compensate the </w:t>
      </w:r>
      <w:r>
        <w:rPr>
          <w:i/>
          <w:color w:val="365F91" w:themeColor="accent1" w:themeShade="BF"/>
        </w:rPr>
        <w:t xml:space="preserve">individual </w:t>
      </w:r>
      <w:r w:rsidRPr="00AF1DDF">
        <w:rPr>
          <w:i/>
          <w:color w:val="365F91" w:themeColor="accent1" w:themeShade="BF"/>
        </w:rPr>
        <w:t xml:space="preserve">for its preparation of response to this RFP nor is the issuing of this RFP a guarantee that FHI Solutions will award a contract.  </w:t>
      </w:r>
    </w:p>
    <w:p w14:paraId="50650DAC" w14:textId="77777777" w:rsidR="00F22E1E" w:rsidRPr="00AF1DDF" w:rsidRDefault="00F22E1E" w:rsidP="00F22E1E">
      <w:pPr>
        <w:pStyle w:val="ListParagraph"/>
        <w:ind w:right="-604"/>
        <w:rPr>
          <w:b/>
          <w:lang w:val="en-GB" w:eastAsia="en-GB"/>
        </w:rPr>
      </w:pPr>
    </w:p>
    <w:p w14:paraId="4FCA6250" w14:textId="77777777" w:rsidR="00F22E1E" w:rsidRPr="00AF1DDF" w:rsidRDefault="00F22E1E" w:rsidP="00F22E1E">
      <w:pPr>
        <w:jc w:val="both"/>
        <w:rPr>
          <w:b/>
        </w:rPr>
      </w:pPr>
      <w:r w:rsidRPr="00AF1DDF">
        <w:rPr>
          <w:b/>
        </w:rPr>
        <w:t xml:space="preserve">Instructions and Deadline </w:t>
      </w:r>
    </w:p>
    <w:p w14:paraId="222A874F" w14:textId="6908C217" w:rsidR="00F22E1E" w:rsidRPr="00AF1DDF" w:rsidRDefault="00F22E1E" w:rsidP="00F22E1E">
      <w:pPr>
        <w:adjustRightInd w:val="0"/>
      </w:pPr>
      <w:r w:rsidRPr="00AF1DDF">
        <w:rPr>
          <w:color w:val="000000"/>
        </w:rPr>
        <w:t xml:space="preserve">Responses to this RFP should be submitted by email to the A&amp;T office to </w:t>
      </w:r>
      <w:r w:rsidR="00DA6DBF">
        <w:rPr>
          <w:rFonts w:eastAsia="Calibri"/>
        </w:rPr>
        <w:t>Joe Lamport</w:t>
      </w:r>
      <w:r w:rsidRPr="00AF1DDF">
        <w:rPr>
          <w:rFonts w:eastAsia="Calibri"/>
        </w:rPr>
        <w:t xml:space="preserve"> at email: </w:t>
      </w:r>
      <w:hyperlink r:id="rId8" w:history="1">
        <w:r w:rsidR="00DA6DBF" w:rsidRPr="00D46B64">
          <w:rPr>
            <w:rStyle w:val="Hyperlink"/>
          </w:rPr>
          <w:t>jlamport@fhi360.org</w:t>
        </w:r>
      </w:hyperlink>
      <w:r>
        <w:t xml:space="preserve"> </w:t>
      </w:r>
      <w:r w:rsidRPr="00AF1DDF">
        <w:rPr>
          <w:rFonts w:eastAsia="Calibri"/>
          <w:color w:val="000000"/>
        </w:rPr>
        <w:t xml:space="preserve">with copy to Tika Jaishi Neupane at email: </w:t>
      </w:r>
      <w:hyperlink r:id="rId9" w:history="1">
        <w:r w:rsidRPr="00DD20F4">
          <w:rPr>
            <w:rStyle w:val="Hyperlink"/>
          </w:rPr>
          <w:t>tjaishi-neupane@fhi360.org</w:t>
        </w:r>
      </w:hyperlink>
      <w:r>
        <w:rPr>
          <w:color w:val="365F91" w:themeColor="accent1" w:themeShade="BF"/>
        </w:rPr>
        <w:t xml:space="preserve"> </w:t>
      </w:r>
      <w:r w:rsidRPr="00AF1DDF">
        <w:rPr>
          <w:rFonts w:eastAsia="Calibri"/>
          <w:color w:val="365F91" w:themeColor="accent1" w:themeShade="BF"/>
        </w:rPr>
        <w:t xml:space="preserve"> </w:t>
      </w:r>
      <w:r w:rsidRPr="00AF1DDF">
        <w:rPr>
          <w:rFonts w:eastAsia="Calibri"/>
          <w:color w:val="000000"/>
        </w:rPr>
        <w:t>no later than</w:t>
      </w:r>
      <w:r w:rsidR="00655F5F">
        <w:rPr>
          <w:rFonts w:eastAsia="Calibri"/>
          <w:color w:val="000000"/>
        </w:rPr>
        <w:t xml:space="preserve"> </w:t>
      </w:r>
      <w:r w:rsidR="00E0586C">
        <w:rPr>
          <w:rFonts w:eastAsia="Calibri"/>
          <w:b/>
          <w:bCs/>
          <w:color w:val="000000"/>
        </w:rPr>
        <w:t>Aug</w:t>
      </w:r>
      <w:r w:rsidR="00A62C02">
        <w:rPr>
          <w:rFonts w:eastAsia="Calibri"/>
          <w:b/>
          <w:bCs/>
          <w:color w:val="000000"/>
        </w:rPr>
        <w:t>ust</w:t>
      </w:r>
      <w:r w:rsidR="00E0586C">
        <w:rPr>
          <w:rFonts w:eastAsia="Calibri"/>
          <w:b/>
          <w:bCs/>
          <w:color w:val="000000"/>
        </w:rPr>
        <w:t xml:space="preserve"> 30, 2022 at 5 p.m. </w:t>
      </w:r>
      <w:r w:rsidRPr="00AF1DDF">
        <w:rPr>
          <w:b/>
        </w:rPr>
        <w:t>E</w:t>
      </w:r>
      <w:r w:rsidR="00E0586C">
        <w:rPr>
          <w:b/>
        </w:rPr>
        <w:t>D</w:t>
      </w:r>
      <w:r w:rsidRPr="00AF1DDF">
        <w:rPr>
          <w:b/>
        </w:rPr>
        <w:t>T.</w:t>
      </w:r>
      <w:r w:rsidRPr="00AF1DDF">
        <w:t xml:space="preserve">  </w:t>
      </w:r>
    </w:p>
    <w:p w14:paraId="549598EC" w14:textId="77777777" w:rsidR="00F22E1E" w:rsidRPr="00AF1DDF" w:rsidRDefault="00F22E1E" w:rsidP="00F22E1E">
      <w:pPr>
        <w:adjustRightInd w:val="0"/>
        <w:jc w:val="both"/>
      </w:pPr>
    </w:p>
    <w:p w14:paraId="0A186A8F" w14:textId="47EA9C8C" w:rsidR="00F22E1E" w:rsidRPr="00AF1DDF" w:rsidRDefault="00F22E1E" w:rsidP="00F22E1E">
      <w:pPr>
        <w:adjustRightInd w:val="0"/>
        <w:rPr>
          <w:b/>
          <w:color w:val="000000"/>
        </w:rPr>
      </w:pPr>
      <w:r w:rsidRPr="00AF1DDF">
        <w:t xml:space="preserve">Any explanation desired by a prospective offeror regarding the meaning or interpretation of this solicitation must be requested in writing </w:t>
      </w:r>
      <w:r w:rsidR="00655F5F">
        <w:t xml:space="preserve">and </w:t>
      </w:r>
      <w:r w:rsidRPr="00AF1DDF">
        <w:t xml:space="preserve">submitted </w:t>
      </w:r>
      <w:r w:rsidRPr="00AF1DDF">
        <w:rPr>
          <w:color w:val="000000"/>
        </w:rPr>
        <w:t xml:space="preserve">to </w:t>
      </w:r>
      <w:r w:rsidR="00DA6DBF">
        <w:rPr>
          <w:rFonts w:eastAsia="Calibri"/>
        </w:rPr>
        <w:t>Joe Lamport</w:t>
      </w:r>
      <w:r w:rsidR="00DA6DBF" w:rsidRPr="00AF1DDF">
        <w:rPr>
          <w:rFonts w:eastAsia="Calibri"/>
        </w:rPr>
        <w:t xml:space="preserve"> at email: </w:t>
      </w:r>
      <w:hyperlink r:id="rId10" w:history="1">
        <w:r w:rsidR="00DA6DBF" w:rsidRPr="001017E7">
          <w:rPr>
            <w:rStyle w:val="Hyperlink"/>
          </w:rPr>
          <w:t>jlamport@fhi360.org</w:t>
        </w:r>
      </w:hyperlink>
      <w:r>
        <w:t xml:space="preserve"> </w:t>
      </w:r>
      <w:r w:rsidRPr="00AF1DDF">
        <w:rPr>
          <w:rFonts w:eastAsia="Calibri"/>
          <w:color w:val="000000"/>
        </w:rPr>
        <w:t xml:space="preserve">with copy to Tika Jaishi Neupane at email: </w:t>
      </w:r>
      <w:hyperlink r:id="rId11" w:history="1">
        <w:r w:rsidRPr="00DD20F4">
          <w:rPr>
            <w:rStyle w:val="Hyperlink"/>
          </w:rPr>
          <w:t>tjaishi-neupane@fhi360.org</w:t>
        </w:r>
      </w:hyperlink>
      <w:r>
        <w:rPr>
          <w:color w:val="365F91" w:themeColor="accent1" w:themeShade="BF"/>
        </w:rPr>
        <w:t xml:space="preserve"> </w:t>
      </w:r>
      <w:r w:rsidRPr="00AF1DDF">
        <w:rPr>
          <w:rFonts w:eastAsia="Calibri"/>
          <w:color w:val="365F91" w:themeColor="accent1" w:themeShade="BF"/>
        </w:rPr>
        <w:t xml:space="preserve"> </w:t>
      </w:r>
      <w:r>
        <w:rPr>
          <w:b/>
        </w:rPr>
        <w:t>by</w:t>
      </w:r>
      <w:r w:rsidR="00655F5F">
        <w:rPr>
          <w:b/>
        </w:rPr>
        <w:t xml:space="preserve"> </w:t>
      </w:r>
      <w:r w:rsidR="003A1F07">
        <w:rPr>
          <w:b/>
        </w:rPr>
        <w:t xml:space="preserve">August </w:t>
      </w:r>
      <w:r w:rsidR="00655F5F">
        <w:rPr>
          <w:b/>
        </w:rPr>
        <w:t>1</w:t>
      </w:r>
      <w:r w:rsidR="003A1F07">
        <w:rPr>
          <w:b/>
        </w:rPr>
        <w:t>9</w:t>
      </w:r>
      <w:r>
        <w:rPr>
          <w:b/>
        </w:rPr>
        <w:t xml:space="preserve"> at 5 p.m. EST.</w:t>
      </w:r>
      <w:r w:rsidRPr="00AF1DDF">
        <w:rPr>
          <w:b/>
        </w:rPr>
        <w:t xml:space="preserve"> </w:t>
      </w:r>
    </w:p>
    <w:p w14:paraId="65BC94BD" w14:textId="77777777" w:rsidR="00F22E1E" w:rsidRPr="00AF1DDF" w:rsidRDefault="00F22E1E" w:rsidP="00F22E1E">
      <w:pPr>
        <w:adjustRightInd w:val="0"/>
        <w:jc w:val="both"/>
        <w:rPr>
          <w:color w:val="000000"/>
        </w:rPr>
      </w:pPr>
    </w:p>
    <w:p w14:paraId="0EA2F79F" w14:textId="77777777" w:rsidR="00F22E1E" w:rsidRPr="00AF1DDF" w:rsidRDefault="00F22E1E" w:rsidP="00F22E1E">
      <w:pPr>
        <w:keepNext/>
        <w:keepLines/>
        <w:jc w:val="both"/>
        <w:rPr>
          <w:b/>
          <w:u w:val="single"/>
        </w:rPr>
      </w:pPr>
      <w:r w:rsidRPr="00AF1DDF">
        <w:t>Please follow the instructions carefully.  Proposals which do not follow these instructions may not be reviewed. Offers received after this date and time may not be accepted for consideration. FHI Solutions will acknowledge receipt of your proposal by email. Proposals must be submitted in electronic format using Microsoft Office compatible software.</w:t>
      </w:r>
    </w:p>
    <w:p w14:paraId="1D0243E3" w14:textId="77777777" w:rsidR="00F22E1E" w:rsidRDefault="00F22E1E" w:rsidP="00F22E1E">
      <w:pPr>
        <w:ind w:right="-604"/>
        <w:rPr>
          <w:b/>
          <w:lang w:val="en-GB" w:eastAsia="en-GB"/>
        </w:rPr>
      </w:pPr>
    </w:p>
    <w:p w14:paraId="7AF32CFC" w14:textId="77777777" w:rsidR="00F22E1E" w:rsidRPr="00AF1DDF" w:rsidRDefault="00F22E1E" w:rsidP="00F22E1E">
      <w:pPr>
        <w:ind w:right="-604"/>
        <w:rPr>
          <w:b/>
          <w:lang w:val="en-GB" w:eastAsia="en-GB"/>
        </w:rPr>
      </w:pPr>
      <w:r w:rsidRPr="00AF1DDF">
        <w:rPr>
          <w:b/>
          <w:lang w:val="en-GB" w:eastAsia="en-GB"/>
        </w:rPr>
        <w:t>Anticipated Contractual Mechanism:</w:t>
      </w:r>
    </w:p>
    <w:p w14:paraId="5E11B15D" w14:textId="0C132890" w:rsidR="00F22E1E" w:rsidRDefault="00F22E1E" w:rsidP="00F22E1E">
      <w:pPr>
        <w:jc w:val="both"/>
      </w:pPr>
      <w:r w:rsidRPr="000878D8">
        <w:t xml:space="preserve">FHI Solutions anticipates issuing a </w:t>
      </w:r>
      <w:r w:rsidR="00B74A78">
        <w:t>Daily/Hourly Rate/contract to the offeror(s) whose proposal is most advantageous</w:t>
      </w:r>
      <w:r>
        <w:t xml:space="preserve">. </w:t>
      </w:r>
      <w:r w:rsidRPr="000878D8">
        <w:t xml:space="preserve"> The agreement will be issued to the responsive offer that is selected as the highest scorer on a best value basis.  </w:t>
      </w:r>
      <w:r w:rsidR="000C3E63">
        <w:t>Payments will be based on actual hours worked on approved activities. Certified invoices will be submitted on a routin</w:t>
      </w:r>
      <w:r w:rsidR="009C0C7E">
        <w:t>e</w:t>
      </w:r>
      <w:r w:rsidR="000C3E63">
        <w:t xml:space="preserve"> basis and payments will be </w:t>
      </w:r>
      <w:r w:rsidRPr="000878D8">
        <w:t>contingent on timely submission and approval</w:t>
      </w:r>
      <w:r>
        <w:t xml:space="preserve"> of deliverables</w:t>
      </w:r>
      <w:r w:rsidRPr="000878D8">
        <w:t xml:space="preserve">. </w:t>
      </w:r>
    </w:p>
    <w:p w14:paraId="0BA88ADC" w14:textId="77777777" w:rsidR="00DA6DBF" w:rsidRDefault="00DA6DBF" w:rsidP="00F22E1E">
      <w:pPr>
        <w:jc w:val="both"/>
      </w:pPr>
    </w:p>
    <w:p w14:paraId="67CE1353" w14:textId="77777777" w:rsidR="00F22E1E" w:rsidRPr="00AF1DDF" w:rsidRDefault="00F22E1E" w:rsidP="00F22E1E">
      <w:pPr>
        <w:jc w:val="both"/>
        <w:rPr>
          <w:b/>
          <w:u w:val="single"/>
        </w:rPr>
      </w:pPr>
      <w:r w:rsidRPr="00AF1DDF">
        <w:rPr>
          <w:b/>
          <w:u w:val="single"/>
        </w:rPr>
        <w:t>Withdrawal of Proposals</w:t>
      </w:r>
    </w:p>
    <w:p w14:paraId="67C84F7C" w14:textId="5BE3C35B" w:rsidR="00F22E1E" w:rsidRDefault="00F22E1E" w:rsidP="00F22E1E">
      <w:pPr>
        <w:jc w:val="both"/>
      </w:pPr>
      <w:r w:rsidRPr="00AF1DDF">
        <w:t xml:space="preserve">Proposals may be withdrawn by written notice, email or facsimile received at any time before award. </w:t>
      </w:r>
    </w:p>
    <w:p w14:paraId="4BCA650E" w14:textId="77777777" w:rsidR="00DA6DBF" w:rsidRPr="00AF1DDF" w:rsidRDefault="00DA6DBF" w:rsidP="00F22E1E">
      <w:pPr>
        <w:jc w:val="both"/>
      </w:pPr>
    </w:p>
    <w:p w14:paraId="0A9E3D50" w14:textId="77777777" w:rsidR="00F22E1E" w:rsidRPr="00AF1DDF" w:rsidRDefault="00F22E1E" w:rsidP="00F22E1E">
      <w:pPr>
        <w:jc w:val="both"/>
        <w:rPr>
          <w:b/>
          <w:u w:val="single"/>
        </w:rPr>
      </w:pPr>
      <w:r w:rsidRPr="00AF1DDF">
        <w:rPr>
          <w:b/>
          <w:u w:val="single"/>
        </w:rPr>
        <w:t>False Statements in Offer</w:t>
      </w:r>
    </w:p>
    <w:p w14:paraId="73A2E3CD" w14:textId="44824D87" w:rsidR="00F22E1E" w:rsidRDefault="00F22E1E" w:rsidP="00F22E1E">
      <w:pPr>
        <w:jc w:val="both"/>
      </w:pPr>
      <w:r w:rsidRPr="00AF1DDF">
        <w:t>Offerors must provide full, accurate and complete information as required by this solicitation and its attachments.</w:t>
      </w:r>
    </w:p>
    <w:p w14:paraId="55E4FF0C" w14:textId="77777777" w:rsidR="00DA6DBF" w:rsidRPr="00AF1DDF" w:rsidRDefault="00DA6DBF" w:rsidP="00F22E1E">
      <w:pPr>
        <w:jc w:val="both"/>
      </w:pPr>
    </w:p>
    <w:p w14:paraId="4B0A2316" w14:textId="2E93B29D" w:rsidR="00F22E1E" w:rsidRDefault="00F22E1E" w:rsidP="00F22E1E">
      <w:pPr>
        <w:jc w:val="both"/>
      </w:pPr>
      <w:r w:rsidRPr="00AF1DDF">
        <w:t>Proposals become property of FHI SOLUTIONS.</w:t>
      </w:r>
    </w:p>
    <w:p w14:paraId="7337F36B" w14:textId="77777777" w:rsidR="00DA6DBF" w:rsidRPr="00AF1DDF" w:rsidRDefault="00DA6DBF" w:rsidP="00F22E1E">
      <w:pPr>
        <w:jc w:val="both"/>
      </w:pPr>
    </w:p>
    <w:p w14:paraId="5EF0E752" w14:textId="77777777" w:rsidR="00F22E1E" w:rsidRPr="00AF1DDF" w:rsidRDefault="00F22E1E" w:rsidP="00F22E1E">
      <w:pPr>
        <w:jc w:val="both"/>
        <w:rPr>
          <w:rFonts w:eastAsia="Arial"/>
          <w:b/>
          <w:bCs/>
        </w:rPr>
      </w:pPr>
      <w:r w:rsidRPr="00AF1DDF">
        <w:rPr>
          <w:rFonts w:eastAsia="Arial"/>
          <w:b/>
          <w:bCs/>
        </w:rPr>
        <w:t>DISCLAIMERS AND FHI SOLUTIONS PROTECTION CLAUSES</w:t>
      </w:r>
    </w:p>
    <w:p w14:paraId="5AE716F2" w14:textId="77777777" w:rsidR="00F22E1E" w:rsidRPr="00AF1DDF" w:rsidRDefault="00F22E1E" w:rsidP="00F22E1E">
      <w:pPr>
        <w:pStyle w:val="NormalWeb"/>
        <w:numPr>
          <w:ilvl w:val="0"/>
          <w:numId w:val="4"/>
        </w:numPr>
        <w:spacing w:before="0" w:beforeAutospacing="0" w:after="0" w:afterAutospacing="0" w:line="276" w:lineRule="auto"/>
        <w:jc w:val="both"/>
        <w:rPr>
          <w:sz w:val="22"/>
          <w:szCs w:val="22"/>
        </w:rPr>
      </w:pPr>
      <w:r w:rsidRPr="00AF1DDF">
        <w:rPr>
          <w:sz w:val="22"/>
          <w:szCs w:val="22"/>
        </w:rPr>
        <w:t>FHI SOLUTIONS may cancel the solicitation and not make an award</w:t>
      </w:r>
    </w:p>
    <w:p w14:paraId="6E6819CD" w14:textId="77777777" w:rsidR="00F22E1E" w:rsidRPr="00AF1DDF" w:rsidRDefault="00F22E1E" w:rsidP="00F22E1E">
      <w:pPr>
        <w:pStyle w:val="NormalWeb"/>
        <w:numPr>
          <w:ilvl w:val="0"/>
          <w:numId w:val="4"/>
        </w:numPr>
        <w:spacing w:before="0" w:beforeAutospacing="0" w:after="0" w:afterAutospacing="0" w:line="276" w:lineRule="auto"/>
        <w:jc w:val="both"/>
        <w:rPr>
          <w:sz w:val="22"/>
          <w:szCs w:val="22"/>
        </w:rPr>
      </w:pPr>
      <w:r w:rsidRPr="00AF1DDF">
        <w:rPr>
          <w:sz w:val="22"/>
          <w:szCs w:val="22"/>
        </w:rPr>
        <w:t>FHI SOLUTIONS may reject any or all responses received</w:t>
      </w:r>
    </w:p>
    <w:p w14:paraId="2AB2D026" w14:textId="77777777" w:rsidR="00F22E1E" w:rsidRPr="00AF1DDF" w:rsidRDefault="00F22E1E" w:rsidP="00F22E1E">
      <w:pPr>
        <w:pStyle w:val="NormalWeb"/>
        <w:numPr>
          <w:ilvl w:val="0"/>
          <w:numId w:val="4"/>
        </w:numPr>
        <w:spacing w:before="0" w:beforeAutospacing="0" w:after="0" w:afterAutospacing="0" w:line="276" w:lineRule="auto"/>
        <w:jc w:val="both"/>
        <w:rPr>
          <w:sz w:val="22"/>
          <w:szCs w:val="22"/>
        </w:rPr>
      </w:pPr>
      <w:r w:rsidRPr="00AF1DDF">
        <w:rPr>
          <w:sz w:val="22"/>
          <w:szCs w:val="22"/>
        </w:rPr>
        <w:t>Issuance of a solicitation does not constitute an award commitment by FHI Solutions</w:t>
      </w:r>
    </w:p>
    <w:p w14:paraId="28E81341" w14:textId="77777777" w:rsidR="00F22E1E" w:rsidRPr="00AF1DDF" w:rsidRDefault="00F22E1E" w:rsidP="00F22E1E">
      <w:pPr>
        <w:pStyle w:val="NormalWeb"/>
        <w:numPr>
          <w:ilvl w:val="0"/>
          <w:numId w:val="4"/>
        </w:numPr>
        <w:spacing w:before="0" w:beforeAutospacing="0" w:after="0" w:afterAutospacing="0" w:line="276" w:lineRule="auto"/>
        <w:jc w:val="both"/>
        <w:rPr>
          <w:sz w:val="22"/>
          <w:szCs w:val="22"/>
        </w:rPr>
      </w:pPr>
      <w:r w:rsidRPr="00AF1DDF">
        <w:rPr>
          <w:sz w:val="22"/>
          <w:szCs w:val="22"/>
        </w:rPr>
        <w:t>FHI SOLUTIONS reserves the right to disqualify any offer based on offeror failure to follow solicitation instructions</w:t>
      </w:r>
    </w:p>
    <w:p w14:paraId="6A376918" w14:textId="77777777" w:rsidR="00F22E1E" w:rsidRPr="00AF1DDF" w:rsidRDefault="00F22E1E" w:rsidP="00F22E1E">
      <w:pPr>
        <w:pStyle w:val="NormalWeb"/>
        <w:numPr>
          <w:ilvl w:val="0"/>
          <w:numId w:val="4"/>
        </w:numPr>
        <w:spacing w:before="0" w:beforeAutospacing="0" w:after="0" w:afterAutospacing="0" w:line="276" w:lineRule="auto"/>
        <w:jc w:val="both"/>
        <w:rPr>
          <w:sz w:val="22"/>
          <w:szCs w:val="22"/>
        </w:rPr>
      </w:pPr>
      <w:r w:rsidRPr="00AF1DDF">
        <w:rPr>
          <w:sz w:val="22"/>
          <w:szCs w:val="22"/>
        </w:rPr>
        <w:t>FHI SOLUTIONS will not compensate offers for response to solicitation</w:t>
      </w:r>
    </w:p>
    <w:p w14:paraId="6AC7BEAB" w14:textId="77777777" w:rsidR="00F22E1E" w:rsidRPr="00AF1DDF" w:rsidRDefault="00F22E1E" w:rsidP="00F22E1E">
      <w:pPr>
        <w:pStyle w:val="NormalWeb"/>
        <w:numPr>
          <w:ilvl w:val="0"/>
          <w:numId w:val="4"/>
        </w:numPr>
        <w:spacing w:before="0" w:beforeAutospacing="0" w:after="0" w:afterAutospacing="0" w:line="276" w:lineRule="auto"/>
        <w:jc w:val="both"/>
        <w:rPr>
          <w:sz w:val="22"/>
          <w:szCs w:val="22"/>
        </w:rPr>
      </w:pPr>
      <w:r w:rsidRPr="00AF1DDF">
        <w:rPr>
          <w:sz w:val="22"/>
          <w:szCs w:val="22"/>
        </w:rPr>
        <w:t>FHI SOLUTIONS reserves the right to issue an award based on initial evaluation of offers without further discussion</w:t>
      </w:r>
    </w:p>
    <w:p w14:paraId="0BEA971E" w14:textId="77777777" w:rsidR="00F22E1E" w:rsidRPr="00AF1DDF" w:rsidRDefault="00F22E1E" w:rsidP="00F22E1E">
      <w:pPr>
        <w:pStyle w:val="NormalWeb"/>
        <w:numPr>
          <w:ilvl w:val="0"/>
          <w:numId w:val="4"/>
        </w:numPr>
        <w:spacing w:before="0" w:beforeAutospacing="0" w:after="0" w:afterAutospacing="0" w:line="276" w:lineRule="auto"/>
        <w:jc w:val="both"/>
        <w:rPr>
          <w:sz w:val="22"/>
          <w:szCs w:val="22"/>
        </w:rPr>
      </w:pPr>
      <w:r w:rsidRPr="00AF1DDF">
        <w:rPr>
          <w:sz w:val="22"/>
          <w:szCs w:val="22"/>
        </w:rPr>
        <w:t xml:space="preserve">FHI SOLUTIONS may choose to award only part of the activities in the solicitation, or </w:t>
      </w:r>
    </w:p>
    <w:p w14:paraId="41B40A14" w14:textId="77777777" w:rsidR="00F22E1E" w:rsidRPr="00AF1DDF" w:rsidRDefault="00F22E1E" w:rsidP="00F22E1E">
      <w:pPr>
        <w:pStyle w:val="NormalWeb"/>
        <w:spacing w:before="0" w:beforeAutospacing="0" w:after="0" w:afterAutospacing="0" w:line="276" w:lineRule="auto"/>
        <w:ind w:left="360"/>
        <w:jc w:val="both"/>
        <w:rPr>
          <w:sz w:val="22"/>
          <w:szCs w:val="22"/>
        </w:rPr>
      </w:pPr>
      <w:r w:rsidRPr="00AF1DDF">
        <w:rPr>
          <w:sz w:val="22"/>
          <w:szCs w:val="22"/>
        </w:rPr>
        <w:t>issue multiple awards based on the solicitation activities</w:t>
      </w:r>
    </w:p>
    <w:p w14:paraId="32F3733D" w14:textId="77777777" w:rsidR="00F22E1E" w:rsidRPr="00AF1DDF" w:rsidRDefault="00F22E1E" w:rsidP="00F22E1E">
      <w:pPr>
        <w:widowControl/>
        <w:numPr>
          <w:ilvl w:val="0"/>
          <w:numId w:val="4"/>
        </w:numPr>
        <w:autoSpaceDE/>
        <w:autoSpaceDN/>
        <w:spacing w:line="276" w:lineRule="auto"/>
        <w:jc w:val="both"/>
      </w:pPr>
      <w:r w:rsidRPr="00AF1DDF">
        <w:lastRenderedPageBreak/>
        <w:t>FHI SOLUTIONS may request from short-listed offerors a second or third round of either oral presentation or written response to a more specific and detailed scope of work that is based on a general scope of work in the original RFP.</w:t>
      </w:r>
    </w:p>
    <w:p w14:paraId="4098BA0F" w14:textId="72BF08DD" w:rsidR="00F22E1E" w:rsidRPr="00AF1DDF" w:rsidRDefault="00F22E1E" w:rsidP="00F22E1E">
      <w:pPr>
        <w:widowControl/>
        <w:numPr>
          <w:ilvl w:val="0"/>
          <w:numId w:val="4"/>
        </w:numPr>
        <w:autoSpaceDE/>
        <w:autoSpaceDN/>
        <w:spacing w:line="276" w:lineRule="auto"/>
        <w:jc w:val="both"/>
      </w:pPr>
      <w:r w:rsidRPr="00AF1DDF">
        <w:t>FHI SOLUTIONS has the right to rescind an RFP</w:t>
      </w:r>
      <w:r w:rsidR="00DA6DBF">
        <w:t xml:space="preserve"> </w:t>
      </w:r>
      <w:r w:rsidRPr="00AF1DDF">
        <w:t>or rescind an award prior to the signing of a subcontract due to any unforeseen changes in the direction of FHI SOLUTIONS’s client, be it funding or programmatic.</w:t>
      </w:r>
    </w:p>
    <w:p w14:paraId="3E26B58E" w14:textId="77777777" w:rsidR="00F22E1E" w:rsidRPr="00AF1DDF" w:rsidRDefault="00F22E1E" w:rsidP="00F22E1E">
      <w:pPr>
        <w:pStyle w:val="NormalWeb"/>
        <w:numPr>
          <w:ilvl w:val="0"/>
          <w:numId w:val="4"/>
        </w:numPr>
        <w:spacing w:before="0" w:beforeAutospacing="0" w:after="0" w:afterAutospacing="0" w:line="276" w:lineRule="auto"/>
        <w:jc w:val="both"/>
        <w:rPr>
          <w:sz w:val="22"/>
          <w:szCs w:val="22"/>
        </w:rPr>
      </w:pPr>
      <w:r w:rsidRPr="00AF1DDF">
        <w:rPr>
          <w:sz w:val="22"/>
          <w:szCs w:val="22"/>
        </w:rPr>
        <w:t>FHI SOLUTIONS reserves the right to waive minor proposal deficiencies that can be</w:t>
      </w:r>
    </w:p>
    <w:p w14:paraId="6E0FD5D6" w14:textId="77777777" w:rsidR="00F22E1E" w:rsidRPr="00AF1DDF" w:rsidRDefault="00F22E1E" w:rsidP="00F22E1E">
      <w:pPr>
        <w:pStyle w:val="NormalWeb"/>
        <w:spacing w:before="0" w:beforeAutospacing="0" w:after="0" w:afterAutospacing="0" w:line="276" w:lineRule="auto"/>
        <w:ind w:left="360"/>
        <w:jc w:val="both"/>
        <w:rPr>
          <w:sz w:val="22"/>
          <w:szCs w:val="22"/>
        </w:rPr>
      </w:pPr>
      <w:r w:rsidRPr="00AF1DDF">
        <w:rPr>
          <w:sz w:val="22"/>
          <w:szCs w:val="22"/>
        </w:rPr>
        <w:t>corrected prior to award determination to promote competition</w:t>
      </w:r>
    </w:p>
    <w:p w14:paraId="708B56FE" w14:textId="77777777" w:rsidR="00F22E1E" w:rsidRPr="00AF1DDF" w:rsidRDefault="00F22E1E" w:rsidP="00F22E1E">
      <w:pPr>
        <w:pStyle w:val="NormalWeb"/>
        <w:numPr>
          <w:ilvl w:val="0"/>
          <w:numId w:val="4"/>
        </w:numPr>
        <w:spacing w:before="0" w:beforeAutospacing="0" w:after="0" w:afterAutospacing="0" w:line="276" w:lineRule="auto"/>
        <w:jc w:val="both"/>
        <w:rPr>
          <w:sz w:val="22"/>
          <w:szCs w:val="22"/>
        </w:rPr>
      </w:pPr>
      <w:r w:rsidRPr="00AF1DDF">
        <w:rPr>
          <w:sz w:val="22"/>
          <w:szCs w:val="22"/>
        </w:rPr>
        <w:t>FHI SOLUTIONS will be contacting offerors to confirm contact person, address and that bid was submitted for this solicitation.</w:t>
      </w:r>
    </w:p>
    <w:p w14:paraId="2C954FFA" w14:textId="77777777" w:rsidR="00F22E1E" w:rsidRPr="00AF1DDF" w:rsidRDefault="00F22E1E" w:rsidP="00F22E1E">
      <w:pPr>
        <w:jc w:val="both"/>
        <w:rPr>
          <w:b/>
        </w:rPr>
      </w:pPr>
    </w:p>
    <w:p w14:paraId="7729ED7A" w14:textId="77777777" w:rsidR="00F22E1E" w:rsidRPr="00FA2F6A" w:rsidRDefault="00F22E1E" w:rsidP="00F22E1E">
      <w:pPr>
        <w:jc w:val="both"/>
      </w:pPr>
      <w:r w:rsidRPr="00AF1DDF">
        <w:rPr>
          <w:b/>
        </w:rPr>
        <w:t>END OF RFP******</w:t>
      </w:r>
    </w:p>
    <w:p w14:paraId="53D7EAF0" w14:textId="77777777" w:rsidR="008D10E1" w:rsidRDefault="008D10E1">
      <w:pPr>
        <w:pStyle w:val="BodyText"/>
      </w:pPr>
    </w:p>
    <w:p w14:paraId="1D5CE503" w14:textId="73DCE050" w:rsidR="008D10E1" w:rsidRDefault="008D10E1">
      <w:pPr>
        <w:pStyle w:val="Heading1"/>
        <w:spacing w:before="1"/>
      </w:pPr>
    </w:p>
    <w:p w14:paraId="0FCA662E" w14:textId="77777777" w:rsidR="008D10E1" w:rsidRDefault="008D10E1">
      <w:pPr>
        <w:pStyle w:val="BodyText"/>
        <w:spacing w:before="10" w:after="1"/>
        <w:rPr>
          <w:b/>
          <w:sz w:val="21"/>
        </w:rPr>
      </w:pPr>
    </w:p>
    <w:p w14:paraId="683AADAA" w14:textId="77777777" w:rsidR="00C122F6" w:rsidRDefault="00C122F6"/>
    <w:sectPr w:rsidR="00C122F6">
      <w:headerReference w:type="default" r:id="rId12"/>
      <w:footerReference w:type="default" r:id="rId13"/>
      <w:pgSz w:w="11910" w:h="16840"/>
      <w:pgMar w:top="1340" w:right="1000" w:bottom="980" w:left="960" w:header="0"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84E53" w14:textId="77777777" w:rsidR="00A43682" w:rsidRDefault="00A43682">
      <w:r>
        <w:separator/>
      </w:r>
    </w:p>
  </w:endnote>
  <w:endnote w:type="continuationSeparator" w:id="0">
    <w:p w14:paraId="5E2EF4AA" w14:textId="77777777" w:rsidR="00A43682" w:rsidRDefault="00A43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DB678" w14:textId="084ADD48" w:rsidR="008D10E1" w:rsidRDefault="00071E0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3E918168" wp14:editId="3DA544BD">
              <wp:simplePos x="0" y="0"/>
              <wp:positionH relativeFrom="page">
                <wp:posOffset>6774180</wp:posOffset>
              </wp:positionH>
              <wp:positionV relativeFrom="page">
                <wp:posOffset>10054590</wp:posOffset>
              </wp:positionV>
              <wp:extent cx="127000" cy="194310"/>
              <wp:effectExtent l="1905" t="0" r="444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1E5396" w14:textId="77777777" w:rsidR="008D10E1" w:rsidRDefault="00C122F6">
                          <w:pPr>
                            <w:spacing w:before="10"/>
                            <w:ind w:left="40"/>
                            <w:rPr>
                              <w:sz w:val="24"/>
                            </w:rPr>
                          </w:pPr>
                          <w:r>
                            <w:fldChar w:fldCharType="begin"/>
                          </w:r>
                          <w:r>
                            <w:rPr>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918168" id="_x0000_t202" coordsize="21600,21600" o:spt="202" path="m,l,21600r21600,l21600,xe">
              <v:stroke joinstyle="miter"/>
              <v:path gradientshapeok="t" o:connecttype="rect"/>
            </v:shapetype>
            <v:shape id="Text Box 1" o:spid="_x0000_s1026" type="#_x0000_t202" style="position:absolute;margin-left:533.4pt;margin-top:791.7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" filled="f" stroked="f">
              <v:textbox inset="0,0,0,0">
                <w:txbxContent>
                  <w:p w14:paraId="6F1E5396" w14:textId="77777777" w:rsidR="008D10E1" w:rsidRDefault="00C122F6">
                    <w:pPr>
                      <w:spacing w:before="10"/>
                      <w:ind w:left="40"/>
                      <w:rPr>
                        <w:sz w:val="24"/>
                      </w:rPr>
                    </w:pPr>
                    <w:r>
                      <w:fldChar w:fldCharType="begin"/>
                    </w:r>
                    <w:r>
                      <w:rPr>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5C72" w14:textId="77777777" w:rsidR="00A43682" w:rsidRDefault="00A43682">
      <w:r>
        <w:separator/>
      </w:r>
    </w:p>
  </w:footnote>
  <w:footnote w:type="continuationSeparator" w:id="0">
    <w:p w14:paraId="64423284" w14:textId="77777777" w:rsidR="00A43682" w:rsidRDefault="00A43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81CB1" w14:textId="4806D1CC" w:rsidR="00DA64F0" w:rsidRDefault="00DA64F0" w:rsidP="00DA64F0">
    <w:pPr>
      <w:pStyle w:val="Header"/>
      <w:jc w:val="center"/>
    </w:pPr>
  </w:p>
  <w:p w14:paraId="515FBE44" w14:textId="637B9873" w:rsidR="00A838CC" w:rsidRDefault="00A838CC" w:rsidP="00DA64F0">
    <w:pPr>
      <w:pStyle w:val="Header"/>
      <w:jc w:val="center"/>
    </w:pPr>
  </w:p>
  <w:p w14:paraId="319FC1FE" w14:textId="13D5204C" w:rsidR="00A838CC" w:rsidRDefault="00A838CC" w:rsidP="00DA64F0">
    <w:pPr>
      <w:pStyle w:val="Header"/>
      <w:jc w:val="center"/>
    </w:pPr>
    <w:r>
      <w:rPr>
        <w:noProof/>
      </w:rPr>
      <w:drawing>
        <wp:inline distT="0" distB="0" distL="0" distR="0" wp14:anchorId="7244C4CB" wp14:editId="533EA0FF">
          <wp:extent cx="1031875" cy="752475"/>
          <wp:effectExtent l="0" t="0" r="0" b="9525"/>
          <wp:docPr id="3" name="Picture 2">
            <a:extLst xmlns:a="http://schemas.openxmlformats.org/drawingml/2006/main">
              <a:ext uri="{FF2B5EF4-FFF2-40B4-BE49-F238E27FC236}">
                <a16:creationId xmlns:a16="http://schemas.microsoft.com/office/drawing/2014/main" id="{2182E7BA-1504-4623-B7E6-C8B7B957A2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2182E7BA-1504-4623-B7E6-C8B7B957A22B}"/>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1875" cy="7524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p w14:paraId="30348C1C" w14:textId="77777777" w:rsidR="00A838CC" w:rsidRDefault="00A838CC" w:rsidP="00DA64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E2858"/>
    <w:multiLevelType w:val="hybridMultilevel"/>
    <w:tmpl w:val="F6C22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alibr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alibri"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alibri"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405386"/>
    <w:multiLevelType w:val="hybridMultilevel"/>
    <w:tmpl w:val="0388EB48"/>
    <w:lvl w:ilvl="0" w:tplc="BBB8FC3E">
      <w:numFmt w:val="bullet"/>
      <w:lvlText w:val=""/>
      <w:lvlJc w:val="left"/>
      <w:pPr>
        <w:ind w:left="840" w:hanging="360"/>
      </w:pPr>
      <w:rPr>
        <w:rFonts w:ascii="Symbol" w:eastAsia="Symbol" w:hAnsi="Symbol" w:cs="Symbol" w:hint="default"/>
        <w:w w:val="100"/>
        <w:sz w:val="22"/>
        <w:szCs w:val="22"/>
        <w:lang w:val="en-US" w:eastAsia="en-US" w:bidi="en-US"/>
      </w:rPr>
    </w:lvl>
    <w:lvl w:ilvl="1" w:tplc="5A3E565A">
      <w:numFmt w:val="bullet"/>
      <w:lvlText w:val="•"/>
      <w:lvlJc w:val="left"/>
      <w:pPr>
        <w:ind w:left="1750" w:hanging="360"/>
      </w:pPr>
      <w:rPr>
        <w:rFonts w:hint="default"/>
        <w:lang w:val="en-US" w:eastAsia="en-US" w:bidi="en-US"/>
      </w:rPr>
    </w:lvl>
    <w:lvl w:ilvl="2" w:tplc="376CB0B0">
      <w:numFmt w:val="bullet"/>
      <w:lvlText w:val="•"/>
      <w:lvlJc w:val="left"/>
      <w:pPr>
        <w:ind w:left="2661" w:hanging="360"/>
      </w:pPr>
      <w:rPr>
        <w:rFonts w:hint="default"/>
        <w:lang w:val="en-US" w:eastAsia="en-US" w:bidi="en-US"/>
      </w:rPr>
    </w:lvl>
    <w:lvl w:ilvl="3" w:tplc="F3F0C334">
      <w:numFmt w:val="bullet"/>
      <w:lvlText w:val="•"/>
      <w:lvlJc w:val="left"/>
      <w:pPr>
        <w:ind w:left="3571" w:hanging="360"/>
      </w:pPr>
      <w:rPr>
        <w:rFonts w:hint="default"/>
        <w:lang w:val="en-US" w:eastAsia="en-US" w:bidi="en-US"/>
      </w:rPr>
    </w:lvl>
    <w:lvl w:ilvl="4" w:tplc="5588C604">
      <w:numFmt w:val="bullet"/>
      <w:lvlText w:val="•"/>
      <w:lvlJc w:val="left"/>
      <w:pPr>
        <w:ind w:left="4482" w:hanging="360"/>
      </w:pPr>
      <w:rPr>
        <w:rFonts w:hint="default"/>
        <w:lang w:val="en-US" w:eastAsia="en-US" w:bidi="en-US"/>
      </w:rPr>
    </w:lvl>
    <w:lvl w:ilvl="5" w:tplc="FECC6804">
      <w:numFmt w:val="bullet"/>
      <w:lvlText w:val="•"/>
      <w:lvlJc w:val="left"/>
      <w:pPr>
        <w:ind w:left="5393" w:hanging="360"/>
      </w:pPr>
      <w:rPr>
        <w:rFonts w:hint="default"/>
        <w:lang w:val="en-US" w:eastAsia="en-US" w:bidi="en-US"/>
      </w:rPr>
    </w:lvl>
    <w:lvl w:ilvl="6" w:tplc="C22E1836">
      <w:numFmt w:val="bullet"/>
      <w:lvlText w:val="•"/>
      <w:lvlJc w:val="left"/>
      <w:pPr>
        <w:ind w:left="6303" w:hanging="360"/>
      </w:pPr>
      <w:rPr>
        <w:rFonts w:hint="default"/>
        <w:lang w:val="en-US" w:eastAsia="en-US" w:bidi="en-US"/>
      </w:rPr>
    </w:lvl>
    <w:lvl w:ilvl="7" w:tplc="0F6C2562">
      <w:numFmt w:val="bullet"/>
      <w:lvlText w:val="•"/>
      <w:lvlJc w:val="left"/>
      <w:pPr>
        <w:ind w:left="7214" w:hanging="360"/>
      </w:pPr>
      <w:rPr>
        <w:rFonts w:hint="default"/>
        <w:lang w:val="en-US" w:eastAsia="en-US" w:bidi="en-US"/>
      </w:rPr>
    </w:lvl>
    <w:lvl w:ilvl="8" w:tplc="78B8AA58">
      <w:numFmt w:val="bullet"/>
      <w:lvlText w:val="•"/>
      <w:lvlJc w:val="left"/>
      <w:pPr>
        <w:ind w:left="8125" w:hanging="360"/>
      </w:pPr>
      <w:rPr>
        <w:rFonts w:hint="default"/>
        <w:lang w:val="en-US" w:eastAsia="en-US" w:bidi="en-US"/>
      </w:rPr>
    </w:lvl>
  </w:abstractNum>
  <w:abstractNum w:abstractNumId="2" w15:restartNumberingAfterBreak="0">
    <w:nsid w:val="2C6D7CE6"/>
    <w:multiLevelType w:val="hybridMultilevel"/>
    <w:tmpl w:val="BBB49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2273BEB"/>
    <w:multiLevelType w:val="hybridMultilevel"/>
    <w:tmpl w:val="AA6EB07E"/>
    <w:lvl w:ilvl="0" w:tplc="CE705A68">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42B309E8"/>
    <w:multiLevelType w:val="hybridMultilevel"/>
    <w:tmpl w:val="F29012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8347DE"/>
    <w:multiLevelType w:val="hybridMultilevel"/>
    <w:tmpl w:val="ACF24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F44880"/>
    <w:multiLevelType w:val="hybridMultilevel"/>
    <w:tmpl w:val="1936921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num w:numId="1" w16cid:durableId="781415233">
    <w:abstractNumId w:val="1"/>
  </w:num>
  <w:num w:numId="2" w16cid:durableId="337467909">
    <w:abstractNumId w:val="4"/>
  </w:num>
  <w:num w:numId="3" w16cid:durableId="101532923">
    <w:abstractNumId w:val="6"/>
  </w:num>
  <w:num w:numId="4" w16cid:durableId="1869677138">
    <w:abstractNumId w:val="0"/>
  </w:num>
  <w:num w:numId="5" w16cid:durableId="295457773">
    <w:abstractNumId w:val="3"/>
  </w:num>
  <w:num w:numId="6" w16cid:durableId="272397103">
    <w:abstractNumId w:val="2"/>
  </w:num>
  <w:num w:numId="7" w16cid:durableId="7829241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0E1"/>
    <w:rsid w:val="000222C4"/>
    <w:rsid w:val="00052E60"/>
    <w:rsid w:val="000539F7"/>
    <w:rsid w:val="00071E05"/>
    <w:rsid w:val="00097DCF"/>
    <w:rsid w:val="000A6E62"/>
    <w:rsid w:val="000C3E63"/>
    <w:rsid w:val="000C667E"/>
    <w:rsid w:val="00106F08"/>
    <w:rsid w:val="00141075"/>
    <w:rsid w:val="00156549"/>
    <w:rsid w:val="00164F87"/>
    <w:rsid w:val="001A28DF"/>
    <w:rsid w:val="001E1615"/>
    <w:rsid w:val="00215EBA"/>
    <w:rsid w:val="00232EFA"/>
    <w:rsid w:val="00235CEF"/>
    <w:rsid w:val="002410DE"/>
    <w:rsid w:val="002948F4"/>
    <w:rsid w:val="002D0A0D"/>
    <w:rsid w:val="002D565B"/>
    <w:rsid w:val="0031156E"/>
    <w:rsid w:val="00333FEF"/>
    <w:rsid w:val="003452D0"/>
    <w:rsid w:val="00356ABC"/>
    <w:rsid w:val="00382AC9"/>
    <w:rsid w:val="0039702A"/>
    <w:rsid w:val="003A1F07"/>
    <w:rsid w:val="003A54EC"/>
    <w:rsid w:val="003B42A3"/>
    <w:rsid w:val="003D2983"/>
    <w:rsid w:val="00452E38"/>
    <w:rsid w:val="0049176A"/>
    <w:rsid w:val="005330D8"/>
    <w:rsid w:val="005457EA"/>
    <w:rsid w:val="00553CA7"/>
    <w:rsid w:val="00561868"/>
    <w:rsid w:val="005B3420"/>
    <w:rsid w:val="005E0506"/>
    <w:rsid w:val="00607450"/>
    <w:rsid w:val="00612B94"/>
    <w:rsid w:val="00655F5F"/>
    <w:rsid w:val="00663804"/>
    <w:rsid w:val="006D5571"/>
    <w:rsid w:val="00700D7C"/>
    <w:rsid w:val="00742616"/>
    <w:rsid w:val="0077486E"/>
    <w:rsid w:val="00795258"/>
    <w:rsid w:val="007A373D"/>
    <w:rsid w:val="0086685F"/>
    <w:rsid w:val="008C3894"/>
    <w:rsid w:val="008D0848"/>
    <w:rsid w:val="008D10E1"/>
    <w:rsid w:val="008D6D3A"/>
    <w:rsid w:val="008E3772"/>
    <w:rsid w:val="00902DC6"/>
    <w:rsid w:val="00906A79"/>
    <w:rsid w:val="009720A2"/>
    <w:rsid w:val="009C0C7E"/>
    <w:rsid w:val="009C25AE"/>
    <w:rsid w:val="009E495A"/>
    <w:rsid w:val="009F2009"/>
    <w:rsid w:val="00A07BEE"/>
    <w:rsid w:val="00A43682"/>
    <w:rsid w:val="00A62C02"/>
    <w:rsid w:val="00A838CC"/>
    <w:rsid w:val="00A90DCB"/>
    <w:rsid w:val="00B137D0"/>
    <w:rsid w:val="00B243EA"/>
    <w:rsid w:val="00B2516E"/>
    <w:rsid w:val="00B619F0"/>
    <w:rsid w:val="00B624B6"/>
    <w:rsid w:val="00B62504"/>
    <w:rsid w:val="00B70A92"/>
    <w:rsid w:val="00B74A78"/>
    <w:rsid w:val="00B94A94"/>
    <w:rsid w:val="00B95205"/>
    <w:rsid w:val="00BD69B2"/>
    <w:rsid w:val="00BE2090"/>
    <w:rsid w:val="00C016CC"/>
    <w:rsid w:val="00C122F6"/>
    <w:rsid w:val="00C25CCA"/>
    <w:rsid w:val="00C34305"/>
    <w:rsid w:val="00C36BCF"/>
    <w:rsid w:val="00C44CFD"/>
    <w:rsid w:val="00C77C2A"/>
    <w:rsid w:val="00C84612"/>
    <w:rsid w:val="00CC7D70"/>
    <w:rsid w:val="00CD477B"/>
    <w:rsid w:val="00CE1160"/>
    <w:rsid w:val="00D337F4"/>
    <w:rsid w:val="00D540EF"/>
    <w:rsid w:val="00D57108"/>
    <w:rsid w:val="00D6442D"/>
    <w:rsid w:val="00D802DB"/>
    <w:rsid w:val="00D949CF"/>
    <w:rsid w:val="00DA64F0"/>
    <w:rsid w:val="00DA6DBF"/>
    <w:rsid w:val="00DD0B1F"/>
    <w:rsid w:val="00E0586C"/>
    <w:rsid w:val="00E07FBD"/>
    <w:rsid w:val="00E35AB2"/>
    <w:rsid w:val="00E4240A"/>
    <w:rsid w:val="00E4396B"/>
    <w:rsid w:val="00E508F0"/>
    <w:rsid w:val="00EE00E7"/>
    <w:rsid w:val="00F22E1E"/>
    <w:rsid w:val="00F2376F"/>
    <w:rsid w:val="00F75A37"/>
    <w:rsid w:val="00F8218F"/>
    <w:rsid w:val="00F95D94"/>
    <w:rsid w:val="00F97EB2"/>
    <w:rsid w:val="00FC2C42"/>
    <w:rsid w:val="00FC56A6"/>
    <w:rsid w:val="00FD7CB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C5C96"/>
  <w15:docId w15:val="{DD71639D-15C5-4F25-9AD7-A02D2870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2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aliases w:val="SGLText List Paragraph,Graphic,List Paragraph1,Resume Title,Citation List,heading 4,Ha,Bullets1,Paragraphe de liste1,Puces,texte de base,Lettre d'introduction,Numbered paragraph 1,References,List_Paragraph,Multilevel para_II,Bullets"/>
    <w:basedOn w:val="Normal"/>
    <w:link w:val="ListParagraphChar"/>
    <w:uiPriority w:val="34"/>
    <w:qFormat/>
    <w:pPr>
      <w:ind w:left="840" w:hanging="360"/>
    </w:pPr>
  </w:style>
  <w:style w:type="paragraph" w:customStyle="1" w:styleId="TableParagraph">
    <w:name w:val="Table Paragraph"/>
    <w:basedOn w:val="Normal"/>
    <w:uiPriority w:val="1"/>
    <w:qFormat/>
    <w:pPr>
      <w:ind w:left="108"/>
    </w:pPr>
  </w:style>
  <w:style w:type="paragraph" w:styleId="BalloonText">
    <w:name w:val="Balloon Text"/>
    <w:basedOn w:val="Normal"/>
    <w:link w:val="BalloonTextChar"/>
    <w:uiPriority w:val="99"/>
    <w:semiHidden/>
    <w:unhideWhenUsed/>
    <w:rsid w:val="00D644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42D"/>
    <w:rPr>
      <w:rFonts w:ascii="Segoe UI" w:eastAsia="Times New Roman" w:hAnsi="Segoe UI" w:cs="Segoe UI"/>
      <w:sz w:val="18"/>
      <w:szCs w:val="18"/>
      <w:lang w:bidi="en-US"/>
    </w:rPr>
  </w:style>
  <w:style w:type="character" w:styleId="Hyperlink">
    <w:name w:val="Hyperlink"/>
    <w:basedOn w:val="DefaultParagraphFont"/>
    <w:uiPriority w:val="99"/>
    <w:unhideWhenUsed/>
    <w:rsid w:val="000C667E"/>
    <w:rPr>
      <w:color w:val="0000FF" w:themeColor="hyperlink"/>
      <w:u w:val="single"/>
    </w:rPr>
  </w:style>
  <w:style w:type="character" w:styleId="UnresolvedMention">
    <w:name w:val="Unresolved Mention"/>
    <w:basedOn w:val="DefaultParagraphFont"/>
    <w:uiPriority w:val="99"/>
    <w:semiHidden/>
    <w:unhideWhenUsed/>
    <w:rsid w:val="000C667E"/>
    <w:rPr>
      <w:color w:val="605E5C"/>
      <w:shd w:val="clear" w:color="auto" w:fill="E1DFDD"/>
    </w:rPr>
  </w:style>
  <w:style w:type="character" w:styleId="CommentReference">
    <w:name w:val="annotation reference"/>
    <w:basedOn w:val="DefaultParagraphFont"/>
    <w:uiPriority w:val="99"/>
    <w:semiHidden/>
    <w:unhideWhenUsed/>
    <w:rsid w:val="002D0A0D"/>
    <w:rPr>
      <w:sz w:val="16"/>
      <w:szCs w:val="16"/>
    </w:rPr>
  </w:style>
  <w:style w:type="paragraph" w:styleId="CommentText">
    <w:name w:val="annotation text"/>
    <w:basedOn w:val="Normal"/>
    <w:link w:val="CommentTextChar"/>
    <w:uiPriority w:val="99"/>
    <w:semiHidden/>
    <w:unhideWhenUsed/>
    <w:rsid w:val="002D0A0D"/>
    <w:rPr>
      <w:sz w:val="20"/>
      <w:szCs w:val="20"/>
    </w:rPr>
  </w:style>
  <w:style w:type="character" w:customStyle="1" w:styleId="CommentTextChar">
    <w:name w:val="Comment Text Char"/>
    <w:basedOn w:val="DefaultParagraphFont"/>
    <w:link w:val="CommentText"/>
    <w:uiPriority w:val="99"/>
    <w:semiHidden/>
    <w:rsid w:val="002D0A0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2D0A0D"/>
    <w:rPr>
      <w:b/>
      <w:bCs/>
    </w:rPr>
  </w:style>
  <w:style w:type="character" w:customStyle="1" w:styleId="CommentSubjectChar">
    <w:name w:val="Comment Subject Char"/>
    <w:basedOn w:val="CommentTextChar"/>
    <w:link w:val="CommentSubject"/>
    <w:uiPriority w:val="99"/>
    <w:semiHidden/>
    <w:rsid w:val="002D0A0D"/>
    <w:rPr>
      <w:rFonts w:ascii="Times New Roman" w:eastAsia="Times New Roman" w:hAnsi="Times New Roman" w:cs="Times New Roman"/>
      <w:b/>
      <w:bCs/>
      <w:sz w:val="20"/>
      <w:szCs w:val="20"/>
      <w:lang w:bidi="en-US"/>
    </w:rPr>
  </w:style>
  <w:style w:type="paragraph" w:styleId="NormalWeb">
    <w:name w:val="Normal (Web)"/>
    <w:basedOn w:val="Normal"/>
    <w:unhideWhenUsed/>
    <w:rsid w:val="00F22E1E"/>
    <w:pPr>
      <w:widowControl/>
      <w:autoSpaceDE/>
      <w:autoSpaceDN/>
      <w:spacing w:before="100" w:beforeAutospacing="1" w:after="100" w:afterAutospacing="1"/>
    </w:pPr>
    <w:rPr>
      <w:rFonts w:eastAsiaTheme="minorHAnsi"/>
      <w:sz w:val="24"/>
      <w:szCs w:val="24"/>
      <w:lang w:bidi="ar-SA"/>
    </w:rPr>
  </w:style>
  <w:style w:type="paragraph" w:styleId="Header">
    <w:name w:val="header"/>
    <w:basedOn w:val="Normal"/>
    <w:link w:val="HeaderChar"/>
    <w:uiPriority w:val="99"/>
    <w:unhideWhenUsed/>
    <w:rsid w:val="00DA64F0"/>
    <w:pPr>
      <w:tabs>
        <w:tab w:val="center" w:pos="4680"/>
        <w:tab w:val="right" w:pos="9360"/>
      </w:tabs>
    </w:pPr>
  </w:style>
  <w:style w:type="character" w:customStyle="1" w:styleId="HeaderChar">
    <w:name w:val="Header Char"/>
    <w:basedOn w:val="DefaultParagraphFont"/>
    <w:link w:val="Header"/>
    <w:uiPriority w:val="99"/>
    <w:rsid w:val="00DA64F0"/>
    <w:rPr>
      <w:rFonts w:ascii="Times New Roman" w:eastAsia="Times New Roman" w:hAnsi="Times New Roman" w:cs="Times New Roman"/>
      <w:lang w:bidi="en-US"/>
    </w:rPr>
  </w:style>
  <w:style w:type="paragraph" w:styleId="Footer">
    <w:name w:val="footer"/>
    <w:basedOn w:val="Normal"/>
    <w:link w:val="FooterChar"/>
    <w:uiPriority w:val="99"/>
    <w:unhideWhenUsed/>
    <w:rsid w:val="00DA64F0"/>
    <w:pPr>
      <w:tabs>
        <w:tab w:val="center" w:pos="4680"/>
        <w:tab w:val="right" w:pos="9360"/>
      </w:tabs>
    </w:pPr>
  </w:style>
  <w:style w:type="character" w:customStyle="1" w:styleId="FooterChar">
    <w:name w:val="Footer Char"/>
    <w:basedOn w:val="DefaultParagraphFont"/>
    <w:link w:val="Footer"/>
    <w:uiPriority w:val="99"/>
    <w:rsid w:val="00DA64F0"/>
    <w:rPr>
      <w:rFonts w:ascii="Times New Roman" w:eastAsia="Times New Roman" w:hAnsi="Times New Roman" w:cs="Times New Roman"/>
      <w:lang w:bidi="en-US"/>
    </w:rPr>
  </w:style>
  <w:style w:type="table" w:styleId="TableGrid">
    <w:name w:val="Table Grid"/>
    <w:basedOn w:val="TableNormal"/>
    <w:uiPriority w:val="39"/>
    <w:rsid w:val="00B70A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56ABC"/>
    <w:pPr>
      <w:widowControl/>
      <w:autoSpaceDE/>
      <w:autoSpaceDN/>
    </w:pPr>
    <w:rPr>
      <w:rFonts w:ascii="Times New Roman" w:eastAsia="Times New Roman" w:hAnsi="Times New Roman" w:cs="Times New Roman"/>
      <w:lang w:bidi="en-US"/>
    </w:rPr>
  </w:style>
  <w:style w:type="character" w:customStyle="1" w:styleId="ListParagraphChar">
    <w:name w:val="List Paragraph Char"/>
    <w:aliases w:val="SGLText List Paragraph Char,Graphic Char,List Paragraph1 Char,Resume Title Char,Citation List Char,heading 4 Char,Ha Char,Bullets1 Char,Paragraphe de liste1 Char,Puces Char,texte de base Char,Lettre d'introduction Char,Bullets Char"/>
    <w:basedOn w:val="DefaultParagraphFont"/>
    <w:link w:val="ListParagraph"/>
    <w:uiPriority w:val="34"/>
    <w:locked/>
    <w:rsid w:val="00D540EF"/>
    <w:rPr>
      <w:rFonts w:ascii="Times New Roman" w:eastAsia="Times New Roman" w:hAnsi="Times New Roman" w:cs="Times New Roman"/>
      <w:lang w:bidi="en-US"/>
    </w:rPr>
  </w:style>
  <w:style w:type="paragraph" w:customStyle="1" w:styleId="paragraph">
    <w:name w:val="paragraph"/>
    <w:basedOn w:val="Normal"/>
    <w:rsid w:val="00D540EF"/>
    <w:pPr>
      <w:widowControl/>
      <w:autoSpaceDE/>
      <w:autoSpaceDN/>
      <w:spacing w:before="100" w:beforeAutospacing="1" w:after="100" w:afterAutospacing="1"/>
    </w:pPr>
    <w:rPr>
      <w:sz w:val="24"/>
      <w:szCs w:val="24"/>
      <w:lang w:bidi="ar-SA"/>
    </w:rPr>
  </w:style>
  <w:style w:type="character" w:customStyle="1" w:styleId="eop">
    <w:name w:val="eop"/>
    <w:basedOn w:val="DefaultParagraphFont"/>
    <w:rsid w:val="00D540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988574">
      <w:bodyDiv w:val="1"/>
      <w:marLeft w:val="0"/>
      <w:marRight w:val="0"/>
      <w:marTop w:val="0"/>
      <w:marBottom w:val="0"/>
      <w:divBdr>
        <w:top w:val="none" w:sz="0" w:space="0" w:color="auto"/>
        <w:left w:val="none" w:sz="0" w:space="0" w:color="auto"/>
        <w:bottom w:val="none" w:sz="0" w:space="0" w:color="auto"/>
        <w:right w:val="none" w:sz="0" w:space="0" w:color="auto"/>
      </w:divBdr>
    </w:div>
    <w:div w:id="411004574">
      <w:bodyDiv w:val="1"/>
      <w:marLeft w:val="0"/>
      <w:marRight w:val="0"/>
      <w:marTop w:val="0"/>
      <w:marBottom w:val="0"/>
      <w:divBdr>
        <w:top w:val="none" w:sz="0" w:space="0" w:color="auto"/>
        <w:left w:val="none" w:sz="0" w:space="0" w:color="auto"/>
        <w:bottom w:val="none" w:sz="0" w:space="0" w:color="auto"/>
        <w:right w:val="none" w:sz="0" w:space="0" w:color="auto"/>
      </w:divBdr>
    </w:div>
    <w:div w:id="1165559506">
      <w:bodyDiv w:val="1"/>
      <w:marLeft w:val="0"/>
      <w:marRight w:val="0"/>
      <w:marTop w:val="0"/>
      <w:marBottom w:val="0"/>
      <w:divBdr>
        <w:top w:val="none" w:sz="0" w:space="0" w:color="auto"/>
        <w:left w:val="none" w:sz="0" w:space="0" w:color="auto"/>
        <w:bottom w:val="none" w:sz="0" w:space="0" w:color="auto"/>
        <w:right w:val="none" w:sz="0" w:space="0" w:color="auto"/>
      </w:divBdr>
    </w:div>
    <w:div w:id="18572347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lamport@fhi360.org"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jaishi-neupane@fhi360.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lamport@fhi360.org" TargetMode="External"/><Relationship Id="rId4" Type="http://schemas.openxmlformats.org/officeDocument/2006/relationships/settings" Target="settings.xml"/><Relationship Id="rId9" Type="http://schemas.openxmlformats.org/officeDocument/2006/relationships/hyperlink" Target="mailto:tjaishi-neupane@fhi360.or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D4F82-8E2A-4AC6-B630-7867E8414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1345</Words>
  <Characters>7673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Lina Constien</dc:creator>
  <cp:lastModifiedBy>Lina Constien</cp:lastModifiedBy>
  <cp:revision>2</cp:revision>
  <cp:lastPrinted>2022-08-05T16:17:00Z</cp:lastPrinted>
  <dcterms:created xsi:type="dcterms:W3CDTF">2022-08-05T16:39:00Z</dcterms:created>
  <dcterms:modified xsi:type="dcterms:W3CDTF">2022-08-05T16:39:00Z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2019-07-17T00:00:00Z</vt:filetime>
  </property>
  <property fmtid="{D5CDD505-2E9C-101B-9397-08002B2CF9AE}" pid="3" name="LastSaved">
    <vt:filetime>2019-09-13T00:00:00Z</vt:filetime>
  </property>
</Properties>
</file>